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7B7A7" w14:textId="77777777" w:rsidR="0023082F" w:rsidRPr="003A7760" w:rsidRDefault="0023082F" w:rsidP="0023082F">
      <w:pPr>
        <w:pStyle w:val="Header"/>
        <w:tabs>
          <w:tab w:val="center" w:pos="4320"/>
          <w:tab w:val="right" w:pos="8640"/>
        </w:tabs>
        <w:spacing w:before="100" w:after="60"/>
        <w:jc w:val="center"/>
        <w:rPr>
          <w:color w:val="766A4C"/>
          <w:sz w:val="28"/>
          <w:lang w:val="en-GB"/>
        </w:rPr>
      </w:pPr>
      <w:r w:rsidRPr="003A7760">
        <w:rPr>
          <w:color w:val="766A4C"/>
          <w:sz w:val="28"/>
          <w:lang w:val="en-GB"/>
        </w:rPr>
        <w:t>D.2. – ELIGIBILITY STATEMENT</w:t>
      </w:r>
    </w:p>
    <w:p w14:paraId="777D7CEC" w14:textId="5549A56E" w:rsidR="0023082F" w:rsidRPr="003A7760" w:rsidRDefault="0023082F" w:rsidP="007E1768">
      <w:pPr>
        <w:pStyle w:val="Header"/>
        <w:tabs>
          <w:tab w:val="center" w:pos="4320"/>
          <w:tab w:val="right" w:pos="8640"/>
        </w:tabs>
        <w:spacing w:after="60"/>
        <w:jc w:val="center"/>
        <w:rPr>
          <w:color w:val="766A4C"/>
          <w:sz w:val="28"/>
          <w:lang w:val="en-US"/>
        </w:rPr>
      </w:pPr>
      <w:r w:rsidRPr="003A7760">
        <w:rPr>
          <w:color w:val="766A4C"/>
          <w:sz w:val="28"/>
          <w:lang w:val="en-US"/>
        </w:rPr>
        <w:t xml:space="preserve">Service </w:t>
      </w:r>
      <w:r w:rsidR="00D04054">
        <w:rPr>
          <w:color w:val="766A4C"/>
          <w:sz w:val="28"/>
          <w:lang w:val="en-US"/>
        </w:rPr>
        <w:t>contract</w:t>
      </w:r>
      <w:r w:rsidRPr="003A7760">
        <w:rPr>
          <w:color w:val="766A4C"/>
          <w:sz w:val="28"/>
          <w:lang w:val="en-US"/>
        </w:rPr>
        <w:t xml:space="preserve"> entitled:</w:t>
      </w:r>
    </w:p>
    <w:p w14:paraId="39815095" w14:textId="77777777" w:rsidR="0067159B" w:rsidRPr="0067159B" w:rsidRDefault="0067159B" w:rsidP="00D04054">
      <w:pPr>
        <w:pStyle w:val="Retraitnormal1"/>
        <w:spacing w:before="0" w:after="60"/>
        <w:jc w:val="center"/>
        <w:rPr>
          <w:rFonts w:asciiTheme="minorHAnsi" w:hAnsiTheme="minorHAnsi" w:cs="Myriad Pro"/>
          <w:b/>
          <w:bCs/>
          <w:color w:val="766A4B"/>
          <w:kern w:val="0"/>
          <w:sz w:val="28"/>
          <w:szCs w:val="28"/>
          <w:lang w:val="en-US" w:eastAsia="fr-FR"/>
        </w:rPr>
      </w:pPr>
      <w:r w:rsidRPr="0067159B">
        <w:rPr>
          <w:rFonts w:asciiTheme="minorHAnsi" w:hAnsiTheme="minorHAnsi" w:cs="Myriad Pro"/>
          <w:b/>
          <w:bCs/>
          <w:color w:val="766A4B"/>
          <w:kern w:val="0"/>
          <w:sz w:val="28"/>
          <w:szCs w:val="28"/>
          <w:lang w:val="en-US" w:eastAsia="fr-FR"/>
        </w:rPr>
        <w:t>“Study on the bottlenecks affecting the competitiveness and sustainability of Ethiopian horticultural exports”</w:t>
      </w:r>
    </w:p>
    <w:p w14:paraId="227DBB21" w14:textId="30FD3880" w:rsidR="0023082F" w:rsidRPr="003A7760" w:rsidRDefault="0067159B" w:rsidP="0067159B">
      <w:pPr>
        <w:pStyle w:val="Retraitnormal1"/>
        <w:spacing w:before="0" w:after="240"/>
        <w:jc w:val="center"/>
        <w:rPr>
          <w:rFonts w:asciiTheme="minorHAnsi" w:hAnsiTheme="minorHAnsi"/>
          <w:b/>
          <w:bCs/>
          <w:color w:val="766A4B"/>
          <w:sz w:val="28"/>
          <w:szCs w:val="28"/>
        </w:rPr>
      </w:pPr>
      <w:r w:rsidRPr="0067159B">
        <w:rPr>
          <w:rFonts w:asciiTheme="minorHAnsi" w:hAnsiTheme="minorHAnsi" w:cs="Myriad Pro"/>
          <w:b/>
          <w:bCs/>
          <w:color w:val="766A4B"/>
          <w:kern w:val="0"/>
          <w:sz w:val="28"/>
          <w:szCs w:val="28"/>
          <w:lang w:val="en-US" w:eastAsia="fr-FR"/>
        </w:rPr>
        <w:t>Ref.: COLEAD/AO/251386</w:t>
      </w:r>
    </w:p>
    <w:p w14:paraId="4C809955" w14:textId="77777777" w:rsidR="0023082F" w:rsidRPr="003A7760" w:rsidRDefault="0023082F" w:rsidP="0023082F">
      <w:pPr>
        <w:pStyle w:val="NormalWeb"/>
        <w:shd w:val="clear" w:color="auto" w:fill="FEFEFE"/>
        <w:spacing w:before="0" w:beforeAutospacing="0" w:after="120" w:afterAutospacing="0"/>
        <w:jc w:val="both"/>
        <w:rPr>
          <w:rFonts w:asciiTheme="minorHAnsi" w:hAnsiTheme="minorHAnsi" w:cs="Calibri"/>
          <w:color w:val="000000"/>
          <w:sz w:val="22"/>
          <w:szCs w:val="22"/>
          <w:lang w:val="en-US"/>
        </w:rPr>
      </w:pPr>
      <w:r w:rsidRPr="003A7760">
        <w:rPr>
          <w:rFonts w:asciiTheme="minorHAnsi" w:hAnsiTheme="minorHAnsi" w:cs="Calibri"/>
          <w:color w:val="000000"/>
          <w:sz w:val="22"/>
          <w:szCs w:val="22"/>
          <w:lang w:val="en-US"/>
        </w:rPr>
        <w:t>Participation is open on the same terms to all natural and legal persons who are nationals of, or legal persons established in, an ACP State or a Member State of the European Union and/or listed in document A.3.  In the case of a consortium, all members (i.e., the leader and all other partners) are jointly and severally liable to the contracting authority.</w:t>
      </w:r>
    </w:p>
    <w:p w14:paraId="7C87427E" w14:textId="77777777" w:rsidR="0023082F" w:rsidRPr="003A7760" w:rsidRDefault="0023082F" w:rsidP="0023082F">
      <w:pPr>
        <w:pStyle w:val="NormalWeb"/>
        <w:shd w:val="clear" w:color="auto" w:fill="FEFEFE"/>
        <w:spacing w:before="0" w:beforeAutospacing="0" w:after="120" w:afterAutospacing="0"/>
        <w:jc w:val="both"/>
        <w:rPr>
          <w:rFonts w:asciiTheme="minorHAnsi" w:hAnsiTheme="minorHAnsi" w:cs="Calibri"/>
          <w:color w:val="000000"/>
          <w:sz w:val="22"/>
          <w:szCs w:val="22"/>
          <w:lang w:val="en-US"/>
        </w:rPr>
      </w:pPr>
      <w:r w:rsidRPr="003A7760">
        <w:rPr>
          <w:rFonts w:asciiTheme="minorHAnsi" w:hAnsiTheme="minorHAnsi" w:cs="Calibri"/>
          <w:color w:val="000000"/>
          <w:sz w:val="22"/>
          <w:szCs w:val="22"/>
          <w:lang w:val="en-US"/>
        </w:rPr>
        <w:t>The participation of an ineligible natural or legal person will result in the automatic exclusion of the candidate concerned. If this ineligible person is a member of a consortium, the entire consortium will be excluded.</w:t>
      </w:r>
    </w:p>
    <w:p w14:paraId="6C0EDC33" w14:textId="77777777" w:rsidR="0023082F" w:rsidRPr="003A7760" w:rsidRDefault="0023082F" w:rsidP="0023082F">
      <w:pPr>
        <w:keepLines/>
        <w:tabs>
          <w:tab w:val="left" w:pos="420"/>
        </w:tabs>
        <w:spacing w:after="120"/>
        <w:ind w:left="420" w:right="285" w:hanging="420"/>
        <w:rPr>
          <w:rFonts w:cs="Calibri"/>
          <w:b/>
          <w:color w:val="766A4C"/>
          <w:szCs w:val="22"/>
          <w:lang w:val="en-GB"/>
        </w:rPr>
      </w:pPr>
      <w:r w:rsidRPr="003A7760">
        <w:rPr>
          <w:rFonts w:cs="Calibri"/>
          <w:b/>
          <w:color w:val="766A4C"/>
          <w:szCs w:val="22"/>
          <w:lang w:val="en-GB"/>
        </w:rPr>
        <w:t>1. Situation of exclusion concerning the person</w:t>
      </w:r>
    </w:p>
    <w:p w14:paraId="11227742" w14:textId="77777777" w:rsidR="0023082F" w:rsidRPr="003A7760" w:rsidRDefault="0023082F" w:rsidP="0023082F">
      <w:pPr>
        <w:numPr>
          <w:ilvl w:val="0"/>
          <w:numId w:val="10"/>
        </w:numPr>
        <w:tabs>
          <w:tab w:val="left" w:pos="426"/>
        </w:tabs>
        <w:suppressAutoHyphens/>
        <w:spacing w:before="120" w:after="100" w:afterAutospacing="1"/>
        <w:ind w:left="425" w:hanging="425"/>
        <w:jc w:val="both"/>
        <w:rPr>
          <w:rFonts w:cs="Calibri"/>
          <w:szCs w:val="22"/>
          <w:lang w:val="en-GB"/>
        </w:rPr>
      </w:pPr>
      <w:r w:rsidRPr="003A7760">
        <w:rPr>
          <w:rFonts w:cs="Calibri"/>
          <w:szCs w:val="22"/>
          <w:lang w:val="en-GB"/>
        </w:rPr>
        <w:t>he/she is bankrupt, subject to insolvency or winding up procedures; their assets are being administered by a liquidator or by a court; he/she is in an arrangement with creditors; their business activities are suspended or are in any analogous situation arising from a similar procedure provided for under national legislation or regulations;</w:t>
      </w:r>
    </w:p>
    <w:p w14:paraId="7245D3A6" w14:textId="77777777" w:rsidR="0023082F" w:rsidRPr="003A7760" w:rsidRDefault="0023082F" w:rsidP="0023082F">
      <w:pPr>
        <w:numPr>
          <w:ilvl w:val="0"/>
          <w:numId w:val="10"/>
        </w:numPr>
        <w:tabs>
          <w:tab w:val="left" w:pos="426"/>
        </w:tabs>
        <w:suppressAutoHyphens/>
        <w:spacing w:before="100" w:beforeAutospacing="1" w:after="240"/>
        <w:ind w:left="425" w:hanging="425"/>
        <w:jc w:val="both"/>
        <w:rPr>
          <w:rFonts w:cs="Calibri"/>
          <w:szCs w:val="22"/>
          <w:lang w:val="en-GB"/>
        </w:rPr>
      </w:pPr>
      <w:r w:rsidRPr="003A7760">
        <w:rPr>
          <w:rFonts w:cs="Calibri"/>
          <w:szCs w:val="22"/>
          <w:lang w:val="en-GB"/>
        </w:rPr>
        <w:t>it has been established by a final judgement or a final administrative decision that the person is in breach of their obligations relating to the payment of taxes or social security contributions in accordance with the law of the country in which the person is established, with those of the country in which the contracting authority is located or those of the country of the performance of the contract</w:t>
      </w:r>
    </w:p>
    <w:p w14:paraId="7BD57BBD" w14:textId="77777777" w:rsidR="0023082F" w:rsidRPr="003A7760" w:rsidRDefault="0023082F" w:rsidP="0023082F">
      <w:pPr>
        <w:numPr>
          <w:ilvl w:val="0"/>
          <w:numId w:val="10"/>
        </w:numPr>
        <w:tabs>
          <w:tab w:val="left" w:pos="426"/>
        </w:tabs>
        <w:suppressAutoHyphens/>
        <w:spacing w:after="120"/>
        <w:ind w:left="425" w:hanging="425"/>
        <w:jc w:val="both"/>
        <w:rPr>
          <w:rFonts w:cs="Calibri"/>
          <w:szCs w:val="22"/>
          <w:lang w:val="en-GB"/>
        </w:rPr>
      </w:pPr>
      <w:r w:rsidRPr="003A7760">
        <w:rPr>
          <w:rFonts w:cs="Calibri"/>
          <w:szCs w:val="22"/>
          <w:lang w:val="en-GB"/>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their professional credibility where such conduct denotes wrongful intent or gross negligence, including, in particular, any of the following:</w:t>
      </w:r>
    </w:p>
    <w:p w14:paraId="47F90C5A" w14:textId="77777777" w:rsidR="0023082F" w:rsidRPr="003A7760" w:rsidRDefault="0023082F" w:rsidP="0023082F">
      <w:pPr>
        <w:numPr>
          <w:ilvl w:val="0"/>
          <w:numId w:val="11"/>
        </w:numPr>
        <w:suppressAutoHyphens/>
        <w:ind w:left="993" w:hanging="284"/>
        <w:jc w:val="both"/>
        <w:rPr>
          <w:rFonts w:cs="Calibri"/>
          <w:sz w:val="20"/>
          <w:lang w:val="en-GB"/>
        </w:rPr>
      </w:pPr>
      <w:r w:rsidRPr="003A7760">
        <w:rPr>
          <w:rFonts w:cs="Calibri"/>
          <w:sz w:val="20"/>
          <w:lang w:val="en-GB"/>
        </w:rPr>
        <w:t xml:space="preserve">fraudulently or negligently misrepresenting information required for the verification of the absence of grounds for exclusion or the fulfilment of selection criteria or in the performance of a </w:t>
      </w:r>
      <w:proofErr w:type="gramStart"/>
      <w:r w:rsidRPr="003A7760">
        <w:rPr>
          <w:rFonts w:cs="Calibri"/>
          <w:sz w:val="20"/>
          <w:lang w:val="en-GB"/>
        </w:rPr>
        <w:t>contract;</w:t>
      </w:r>
      <w:proofErr w:type="gramEnd"/>
    </w:p>
    <w:p w14:paraId="385BBAED" w14:textId="77777777" w:rsidR="0023082F" w:rsidRPr="003A7760" w:rsidRDefault="0023082F" w:rsidP="0023082F">
      <w:pPr>
        <w:numPr>
          <w:ilvl w:val="0"/>
          <w:numId w:val="11"/>
        </w:numPr>
        <w:suppressAutoHyphens/>
        <w:ind w:left="993" w:hanging="284"/>
        <w:jc w:val="both"/>
        <w:rPr>
          <w:rFonts w:cs="Calibri"/>
          <w:sz w:val="20"/>
          <w:lang w:val="en-GB"/>
        </w:rPr>
      </w:pPr>
      <w:r w:rsidRPr="003A7760">
        <w:rPr>
          <w:rFonts w:cs="Calibri"/>
          <w:sz w:val="20"/>
          <w:lang w:val="en-GB"/>
        </w:rPr>
        <w:t xml:space="preserve">entering into agreement with other persons with the aim of distorting </w:t>
      </w:r>
      <w:proofErr w:type="gramStart"/>
      <w:r w:rsidRPr="003A7760">
        <w:rPr>
          <w:rFonts w:cs="Calibri"/>
          <w:sz w:val="20"/>
          <w:lang w:val="en-GB"/>
        </w:rPr>
        <w:t>competition;</w:t>
      </w:r>
      <w:proofErr w:type="gramEnd"/>
    </w:p>
    <w:p w14:paraId="321EF4F5" w14:textId="77777777" w:rsidR="0023082F" w:rsidRPr="003A7760" w:rsidRDefault="0023082F" w:rsidP="0023082F">
      <w:pPr>
        <w:numPr>
          <w:ilvl w:val="0"/>
          <w:numId w:val="11"/>
        </w:numPr>
        <w:suppressAutoHyphens/>
        <w:ind w:left="993" w:hanging="284"/>
        <w:jc w:val="both"/>
        <w:rPr>
          <w:rFonts w:cs="Calibri"/>
          <w:sz w:val="20"/>
          <w:lang w:val="en-GB"/>
        </w:rPr>
      </w:pPr>
      <w:r w:rsidRPr="003A7760">
        <w:rPr>
          <w:rFonts w:cs="Calibri"/>
          <w:sz w:val="20"/>
          <w:lang w:val="en-GB"/>
        </w:rPr>
        <w:t xml:space="preserve">violating intellectual property </w:t>
      </w:r>
      <w:proofErr w:type="gramStart"/>
      <w:r w:rsidRPr="003A7760">
        <w:rPr>
          <w:rFonts w:cs="Calibri"/>
          <w:sz w:val="20"/>
          <w:lang w:val="en-GB"/>
        </w:rPr>
        <w:t>rights;</w:t>
      </w:r>
      <w:proofErr w:type="gramEnd"/>
      <w:r w:rsidRPr="003A7760">
        <w:rPr>
          <w:rFonts w:cs="Calibri"/>
          <w:sz w:val="20"/>
          <w:lang w:val="en-GB"/>
        </w:rPr>
        <w:tab/>
      </w:r>
    </w:p>
    <w:p w14:paraId="68A83331" w14:textId="77777777" w:rsidR="0023082F" w:rsidRPr="003A7760" w:rsidRDefault="0023082F" w:rsidP="0023082F">
      <w:pPr>
        <w:numPr>
          <w:ilvl w:val="0"/>
          <w:numId w:val="11"/>
        </w:numPr>
        <w:suppressAutoHyphens/>
        <w:ind w:left="993" w:hanging="284"/>
        <w:jc w:val="both"/>
        <w:rPr>
          <w:rFonts w:cs="Calibri"/>
          <w:sz w:val="20"/>
          <w:lang w:val="en-GB"/>
        </w:rPr>
      </w:pPr>
      <w:r w:rsidRPr="003A7760">
        <w:rPr>
          <w:rFonts w:cs="Calibri"/>
          <w:sz w:val="20"/>
          <w:lang w:val="en-GB"/>
        </w:rPr>
        <w:t xml:space="preserve">attempting to influence the decision-making process of the contracting authority during the award </w:t>
      </w:r>
      <w:proofErr w:type="gramStart"/>
      <w:r w:rsidRPr="003A7760">
        <w:rPr>
          <w:rFonts w:cs="Calibri"/>
          <w:sz w:val="20"/>
          <w:lang w:val="en-GB"/>
        </w:rPr>
        <w:t>procedure;</w:t>
      </w:r>
      <w:proofErr w:type="gramEnd"/>
      <w:r w:rsidRPr="003A7760">
        <w:rPr>
          <w:rFonts w:cs="Calibri"/>
          <w:sz w:val="20"/>
          <w:lang w:val="en-GB"/>
        </w:rPr>
        <w:tab/>
      </w:r>
    </w:p>
    <w:p w14:paraId="17C0D6FD" w14:textId="77777777" w:rsidR="0023082F" w:rsidRPr="003A7760" w:rsidRDefault="0023082F" w:rsidP="0023082F">
      <w:pPr>
        <w:numPr>
          <w:ilvl w:val="0"/>
          <w:numId w:val="11"/>
        </w:numPr>
        <w:suppressAutoHyphens/>
        <w:ind w:left="993" w:hanging="284"/>
        <w:jc w:val="both"/>
        <w:rPr>
          <w:rFonts w:cs="Calibri"/>
          <w:sz w:val="20"/>
          <w:lang w:val="en-GB"/>
        </w:rPr>
      </w:pPr>
      <w:r w:rsidRPr="003A7760">
        <w:rPr>
          <w:rFonts w:cs="Calibri"/>
          <w:sz w:val="20"/>
          <w:lang w:val="en-GB"/>
        </w:rPr>
        <w:t xml:space="preserve">attempting to obtain confidential information that may confer upon </w:t>
      </w:r>
      <w:proofErr w:type="gramStart"/>
      <w:r w:rsidRPr="003A7760">
        <w:rPr>
          <w:rFonts w:cs="Calibri"/>
          <w:sz w:val="20"/>
          <w:lang w:val="en-GB"/>
        </w:rPr>
        <w:t>it</w:t>
      </w:r>
      <w:proofErr w:type="gramEnd"/>
      <w:r w:rsidRPr="003A7760">
        <w:rPr>
          <w:rFonts w:cs="Calibri"/>
          <w:sz w:val="20"/>
          <w:lang w:val="en-GB"/>
        </w:rPr>
        <w:t xml:space="preserve"> undue advantages in the award procedure.</w:t>
      </w:r>
    </w:p>
    <w:p w14:paraId="30381F5C" w14:textId="77777777" w:rsidR="0023082F" w:rsidRPr="003A7760" w:rsidRDefault="0023082F" w:rsidP="0023082F">
      <w:pPr>
        <w:pStyle w:val="ListParagraph"/>
        <w:numPr>
          <w:ilvl w:val="0"/>
          <w:numId w:val="10"/>
        </w:numPr>
        <w:spacing w:after="120"/>
        <w:rPr>
          <w:rFonts w:cs="Calibri"/>
          <w:szCs w:val="22"/>
          <w:lang w:val="en-GB"/>
        </w:rPr>
      </w:pPr>
      <w:r w:rsidRPr="003A7760">
        <w:rPr>
          <w:rFonts w:cs="Calibri"/>
          <w:szCs w:val="22"/>
          <w:lang w:val="en-GB"/>
        </w:rPr>
        <w:t>it has been established by a final judgement, that the person is guilty of the following:</w:t>
      </w:r>
    </w:p>
    <w:p w14:paraId="7417D8EC" w14:textId="77777777" w:rsidR="0023082F" w:rsidRPr="003A7760" w:rsidRDefault="0023082F" w:rsidP="0023082F">
      <w:pPr>
        <w:numPr>
          <w:ilvl w:val="0"/>
          <w:numId w:val="12"/>
        </w:numPr>
        <w:tabs>
          <w:tab w:val="left" w:pos="709"/>
        </w:tabs>
        <w:suppressAutoHyphens/>
        <w:jc w:val="both"/>
        <w:rPr>
          <w:rFonts w:cs="Calibri"/>
          <w:sz w:val="20"/>
          <w:lang w:val="en-GB"/>
        </w:rPr>
      </w:pPr>
      <w:r w:rsidRPr="003A7760">
        <w:rPr>
          <w:rFonts w:cs="Calibri"/>
          <w:sz w:val="20"/>
          <w:lang w:val="en-GB"/>
        </w:rPr>
        <w:t xml:space="preserve">fraud, within the meaning of Article 1 of the Convention on the protection of the European Communities' financial interests, drawn up by the Council Act of 26 July </w:t>
      </w:r>
      <w:proofErr w:type="gramStart"/>
      <w:r w:rsidRPr="003A7760">
        <w:rPr>
          <w:rFonts w:cs="Calibri"/>
          <w:sz w:val="20"/>
          <w:lang w:val="en-GB"/>
        </w:rPr>
        <w:t>1995;</w:t>
      </w:r>
      <w:proofErr w:type="gramEnd"/>
    </w:p>
    <w:p w14:paraId="51E9C108" w14:textId="77777777" w:rsidR="0023082F" w:rsidRPr="003A7760" w:rsidRDefault="0023082F" w:rsidP="0023082F">
      <w:pPr>
        <w:numPr>
          <w:ilvl w:val="0"/>
          <w:numId w:val="12"/>
        </w:numPr>
        <w:tabs>
          <w:tab w:val="left" w:pos="709"/>
        </w:tabs>
        <w:suppressAutoHyphens/>
        <w:jc w:val="both"/>
        <w:rPr>
          <w:rFonts w:cs="Calibri"/>
          <w:sz w:val="20"/>
          <w:lang w:val="en-GB"/>
        </w:rPr>
      </w:pPr>
      <w:r w:rsidRPr="003A7760">
        <w:rPr>
          <w:rFonts w:cs="Calibri"/>
          <w:sz w:val="20"/>
          <w:lang w:val="en-GB"/>
        </w:rPr>
        <w:t xml:space="preserve">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w:t>
      </w:r>
      <w:r w:rsidRPr="003A7760">
        <w:rPr>
          <w:rFonts w:cs="Calibri"/>
          <w:sz w:val="20"/>
          <w:lang w:val="en-GB"/>
        </w:rPr>
        <w:lastRenderedPageBreak/>
        <w:t>authority is located, the country in which the person is established or the country of the performance of the contract;</w:t>
      </w:r>
    </w:p>
    <w:p w14:paraId="0F9F2DF2" w14:textId="77777777" w:rsidR="0023082F" w:rsidRPr="003A7760" w:rsidRDefault="0023082F" w:rsidP="0023082F">
      <w:pPr>
        <w:numPr>
          <w:ilvl w:val="0"/>
          <w:numId w:val="12"/>
        </w:numPr>
        <w:tabs>
          <w:tab w:val="left" w:pos="709"/>
        </w:tabs>
        <w:suppressAutoHyphens/>
        <w:jc w:val="both"/>
        <w:rPr>
          <w:rFonts w:cs="Calibri"/>
          <w:sz w:val="20"/>
          <w:lang w:val="en-GB"/>
        </w:rPr>
      </w:pPr>
      <w:r w:rsidRPr="003A7760">
        <w:rPr>
          <w:rFonts w:cs="Calibri"/>
          <w:sz w:val="20"/>
          <w:lang w:val="en-GB"/>
        </w:rPr>
        <w:t>participation in a criminal organisation, as defined in Article 2 of Council Framework Decision 2008/841/</w:t>
      </w:r>
      <w:proofErr w:type="gramStart"/>
      <w:r w:rsidRPr="003A7760">
        <w:rPr>
          <w:rFonts w:cs="Calibri"/>
          <w:sz w:val="20"/>
          <w:lang w:val="en-GB"/>
        </w:rPr>
        <w:t>JHA;</w:t>
      </w:r>
      <w:proofErr w:type="gramEnd"/>
    </w:p>
    <w:p w14:paraId="68B24ED0" w14:textId="77777777" w:rsidR="0023082F" w:rsidRPr="003A7760" w:rsidRDefault="0023082F" w:rsidP="0023082F">
      <w:pPr>
        <w:numPr>
          <w:ilvl w:val="0"/>
          <w:numId w:val="12"/>
        </w:numPr>
        <w:tabs>
          <w:tab w:val="left" w:pos="709"/>
        </w:tabs>
        <w:suppressAutoHyphens/>
        <w:jc w:val="both"/>
        <w:rPr>
          <w:rFonts w:cs="Calibri"/>
          <w:sz w:val="20"/>
          <w:lang w:val="en-GB"/>
        </w:rPr>
      </w:pPr>
      <w:r w:rsidRPr="003A7760">
        <w:rPr>
          <w:rFonts w:cs="Calibri"/>
          <w:sz w:val="20"/>
          <w:lang w:val="en-GB"/>
        </w:rPr>
        <w:t xml:space="preserve">money laundering or terrorist financing, as defined in Article 1 of Directive 2005/60/EC of the European Parliament and of the </w:t>
      </w:r>
      <w:proofErr w:type="gramStart"/>
      <w:r w:rsidRPr="003A7760">
        <w:rPr>
          <w:rFonts w:cs="Calibri"/>
          <w:sz w:val="20"/>
          <w:lang w:val="en-GB"/>
        </w:rPr>
        <w:t>Council;</w:t>
      </w:r>
      <w:proofErr w:type="gramEnd"/>
    </w:p>
    <w:p w14:paraId="1B8680B8" w14:textId="77777777" w:rsidR="0023082F" w:rsidRPr="003A7760" w:rsidRDefault="0023082F" w:rsidP="0023082F">
      <w:pPr>
        <w:numPr>
          <w:ilvl w:val="0"/>
          <w:numId w:val="12"/>
        </w:numPr>
        <w:tabs>
          <w:tab w:val="left" w:pos="709"/>
        </w:tabs>
        <w:suppressAutoHyphens/>
        <w:jc w:val="both"/>
        <w:rPr>
          <w:rFonts w:cs="Calibri"/>
          <w:sz w:val="20"/>
          <w:lang w:val="en-GB"/>
        </w:rPr>
      </w:pPr>
      <w:r w:rsidRPr="003A7760">
        <w:rPr>
          <w:rFonts w:cs="Calibri"/>
          <w:sz w:val="20"/>
          <w:lang w:val="en-GB"/>
        </w:rPr>
        <w:t xml:space="preserve">terrorist-related offences or offences linked to terrorist activities, as defined in Articles 1 and 3 of Council Framework Decision 2002/475/JHA, respectively, or inciting, aiding, abetting or attempting to commit such offences, as referred to in Article 4 of that </w:t>
      </w:r>
      <w:proofErr w:type="gramStart"/>
      <w:r w:rsidRPr="003A7760">
        <w:rPr>
          <w:rFonts w:cs="Calibri"/>
          <w:sz w:val="20"/>
          <w:lang w:val="en-GB"/>
        </w:rPr>
        <w:t>Decision;</w:t>
      </w:r>
      <w:proofErr w:type="gramEnd"/>
    </w:p>
    <w:p w14:paraId="1204CFB0" w14:textId="77777777" w:rsidR="0023082F" w:rsidRPr="003A7760" w:rsidRDefault="0023082F" w:rsidP="0023082F">
      <w:pPr>
        <w:numPr>
          <w:ilvl w:val="0"/>
          <w:numId w:val="12"/>
        </w:numPr>
        <w:tabs>
          <w:tab w:val="left" w:pos="709"/>
        </w:tabs>
        <w:suppressAutoHyphens/>
        <w:spacing w:after="120"/>
        <w:ind w:left="1077" w:hanging="357"/>
        <w:jc w:val="both"/>
        <w:rPr>
          <w:rFonts w:cs="Calibri"/>
          <w:sz w:val="20"/>
          <w:lang w:val="en-GB"/>
        </w:rPr>
      </w:pPr>
      <w:r w:rsidRPr="003A7760">
        <w:rPr>
          <w:rFonts w:cs="Calibri"/>
          <w:sz w:val="20"/>
          <w:lang w:val="en-GB"/>
        </w:rPr>
        <w:t>child labour or other forms of trafficking in human beings as defined in Article 2 of Directive 2011/36/EU of the European Parliament and of the Council.</w:t>
      </w:r>
    </w:p>
    <w:p w14:paraId="5DA0594B" w14:textId="77777777" w:rsidR="0023082F" w:rsidRPr="003A7760" w:rsidRDefault="0023082F" w:rsidP="0023082F">
      <w:pPr>
        <w:numPr>
          <w:ilvl w:val="0"/>
          <w:numId w:val="12"/>
        </w:numPr>
        <w:suppressAutoHyphens/>
        <w:spacing w:after="240"/>
        <w:jc w:val="both"/>
        <w:rPr>
          <w:rFonts w:cs="Calibri"/>
          <w:sz w:val="20"/>
          <w:lang w:val="en-US"/>
        </w:rPr>
      </w:pPr>
      <w:r w:rsidRPr="003A7760">
        <w:rPr>
          <w:rFonts w:cs="Calibri"/>
          <w:sz w:val="20"/>
          <w:lang w:val="en-US"/>
        </w:rPr>
        <w:t xml:space="preserve">be included on the lists of financial sanctions adopted by the United Nations, the European Union and/or France* </w:t>
      </w:r>
      <w:proofErr w:type="gramStart"/>
      <w:r w:rsidRPr="003A7760">
        <w:rPr>
          <w:rFonts w:cs="Calibri"/>
          <w:sz w:val="20"/>
          <w:lang w:val="en-US"/>
        </w:rPr>
        <w:t>in particular in</w:t>
      </w:r>
      <w:proofErr w:type="gramEnd"/>
      <w:r w:rsidRPr="003A7760">
        <w:rPr>
          <w:rFonts w:cs="Calibri"/>
          <w:sz w:val="20"/>
          <w:lang w:val="en-US"/>
        </w:rPr>
        <w:t xml:space="preserve"> the fight against the financing of terrorism and against attacks on international peace and </w:t>
      </w:r>
      <w:proofErr w:type="gramStart"/>
      <w:r w:rsidRPr="003A7760">
        <w:rPr>
          <w:rFonts w:cs="Calibri"/>
          <w:sz w:val="20"/>
          <w:lang w:val="en-US"/>
        </w:rPr>
        <w:t>security;</w:t>
      </w:r>
      <w:proofErr w:type="gramEnd"/>
    </w:p>
    <w:p w14:paraId="6B8E8196" w14:textId="77777777" w:rsidR="0023082F" w:rsidRPr="003A7760" w:rsidRDefault="0023082F" w:rsidP="0023082F">
      <w:pPr>
        <w:tabs>
          <w:tab w:val="left" w:pos="709"/>
        </w:tabs>
        <w:spacing w:after="120"/>
        <w:ind w:left="1080" w:right="198"/>
        <w:rPr>
          <w:rFonts w:cs="Calibri"/>
          <w:i/>
          <w:sz w:val="20"/>
          <w:lang w:val="en-US"/>
        </w:rPr>
      </w:pPr>
      <w:r w:rsidRPr="003A7760">
        <w:rPr>
          <w:rFonts w:cs="Calibri"/>
          <w:i/>
          <w:sz w:val="20"/>
          <w:lang w:val="en-US"/>
        </w:rPr>
        <w:t>* Lists of Financial Sanctions: mean the lists of persons, groups or entities subject to financial sanctions by the United Nations, the European Union and France.</w:t>
      </w:r>
    </w:p>
    <w:p w14:paraId="550E548C" w14:textId="77777777" w:rsidR="0023082F" w:rsidRPr="003A7760" w:rsidRDefault="0023082F" w:rsidP="0023082F">
      <w:pPr>
        <w:tabs>
          <w:tab w:val="left" w:pos="709"/>
        </w:tabs>
        <w:ind w:left="1080" w:right="198"/>
        <w:rPr>
          <w:rFonts w:cs="Calibri"/>
          <w:i/>
          <w:sz w:val="20"/>
          <w:lang w:val="en-US"/>
        </w:rPr>
      </w:pPr>
      <w:r w:rsidRPr="003A7760">
        <w:rPr>
          <w:rFonts w:cs="Calibri"/>
          <w:i/>
          <w:sz w:val="20"/>
          <w:lang w:val="en-US"/>
        </w:rPr>
        <w:t>For information only, and without entitling the person to use the references below:</w:t>
      </w:r>
    </w:p>
    <w:p w14:paraId="21CE5ED8" w14:textId="77777777" w:rsidR="0023082F" w:rsidRPr="003A7760" w:rsidRDefault="0023082F" w:rsidP="0023082F">
      <w:pPr>
        <w:tabs>
          <w:tab w:val="left" w:pos="709"/>
        </w:tabs>
        <w:ind w:left="1080" w:right="198"/>
        <w:rPr>
          <w:rFonts w:cs="Calibri"/>
          <w:i/>
          <w:sz w:val="20"/>
          <w:lang w:val="en-US"/>
        </w:rPr>
      </w:pPr>
    </w:p>
    <w:p w14:paraId="05195219" w14:textId="77777777" w:rsidR="0023082F" w:rsidRPr="003A7760" w:rsidRDefault="0023082F" w:rsidP="0023082F">
      <w:pPr>
        <w:tabs>
          <w:tab w:val="left" w:pos="709"/>
        </w:tabs>
        <w:spacing w:after="120"/>
        <w:ind w:left="1080" w:right="198"/>
        <w:rPr>
          <w:rFonts w:cs="Calibri"/>
          <w:i/>
          <w:iCs/>
          <w:sz w:val="20"/>
          <w:lang w:val="en-US"/>
        </w:rPr>
      </w:pPr>
      <w:r w:rsidRPr="003A7760">
        <w:rPr>
          <w:rFonts w:cs="Calibri"/>
          <w:i/>
          <w:sz w:val="20"/>
          <w:lang w:val="en-US"/>
        </w:rPr>
        <w:t xml:space="preserve">For the United Nations, consolidated United Nations Security Council Sanctions list: </w:t>
      </w:r>
      <w:hyperlink r:id="rId8" w:history="1">
        <w:r w:rsidRPr="003A7760">
          <w:rPr>
            <w:rStyle w:val="Hyperlink"/>
            <w:rFonts w:eastAsiaTheme="majorEastAsia" w:cs="Calibri"/>
            <w:i/>
            <w:iCs/>
            <w:sz w:val="20"/>
            <w:lang w:val="en-US"/>
          </w:rPr>
          <w:t>https://www.un.org/securitycouncil/content/un-sc-consolidated-list</w:t>
        </w:r>
      </w:hyperlink>
      <w:r w:rsidRPr="003A7760">
        <w:rPr>
          <w:rFonts w:cs="Calibri"/>
          <w:i/>
          <w:iCs/>
          <w:sz w:val="20"/>
          <w:lang w:val="en-US"/>
        </w:rPr>
        <w:t xml:space="preserve"> </w:t>
      </w:r>
    </w:p>
    <w:p w14:paraId="376F4374" w14:textId="77777777" w:rsidR="0023082F" w:rsidRPr="003A7760" w:rsidRDefault="0023082F" w:rsidP="0023082F">
      <w:pPr>
        <w:tabs>
          <w:tab w:val="left" w:pos="709"/>
        </w:tabs>
        <w:spacing w:after="120"/>
        <w:ind w:left="1080" w:right="198"/>
        <w:rPr>
          <w:rFonts w:cs="Calibri"/>
          <w:i/>
          <w:sz w:val="20"/>
          <w:lang w:val="en-US"/>
        </w:rPr>
      </w:pPr>
      <w:r w:rsidRPr="003A7760">
        <w:rPr>
          <w:rFonts w:cs="Calibri"/>
          <w:i/>
          <w:sz w:val="20"/>
          <w:lang w:val="en-US"/>
        </w:rPr>
        <w:t xml:space="preserve">For the European Union, the lists can be consulted under the following address: </w:t>
      </w:r>
      <w:hyperlink r:id="rId9" w:history="1">
        <w:r w:rsidRPr="003A7760">
          <w:rPr>
            <w:rStyle w:val="Hyperlink"/>
            <w:rFonts w:eastAsiaTheme="majorEastAsia" w:cs="Calibri"/>
            <w:i/>
            <w:sz w:val="20"/>
            <w:lang w:val="en-US"/>
          </w:rPr>
          <w:t>https://eeas.europa.eu/headquarters/headquarters-homepage/8442/consolidated-list-sanctions_fr</w:t>
        </w:r>
      </w:hyperlink>
      <w:r w:rsidRPr="003A7760">
        <w:rPr>
          <w:rFonts w:cs="Calibri"/>
          <w:i/>
          <w:sz w:val="20"/>
          <w:lang w:val="en-US"/>
        </w:rPr>
        <w:t xml:space="preserve">  </w:t>
      </w:r>
    </w:p>
    <w:p w14:paraId="427B7FB9" w14:textId="77777777" w:rsidR="0023082F" w:rsidRPr="003A7760" w:rsidRDefault="0023082F" w:rsidP="0023082F">
      <w:pPr>
        <w:tabs>
          <w:tab w:val="left" w:pos="709"/>
        </w:tabs>
        <w:spacing w:after="120"/>
        <w:ind w:left="1077"/>
        <w:rPr>
          <w:rStyle w:val="Hyperlink"/>
          <w:rFonts w:eastAsiaTheme="majorEastAsia" w:cs="Calibri"/>
          <w:sz w:val="20"/>
          <w:lang w:val="en-GB"/>
        </w:rPr>
      </w:pPr>
      <w:r w:rsidRPr="003A7760">
        <w:rPr>
          <w:rFonts w:cs="Calibri"/>
          <w:i/>
          <w:sz w:val="20"/>
          <w:lang w:val="en-US"/>
        </w:rPr>
        <w:t xml:space="preserve">For France, see: </w:t>
      </w:r>
      <w:hyperlink r:id="rId10" w:history="1">
        <w:r w:rsidRPr="003A7760">
          <w:rPr>
            <w:rStyle w:val="Hyperlink"/>
            <w:rFonts w:eastAsiaTheme="majorEastAsia" w:cs="Calibri"/>
            <w:i/>
            <w:sz w:val="20"/>
            <w:lang w:val="en-US"/>
          </w:rPr>
          <w:t>http://www.tresor.economie.gouv.fr/4248_Dispositif-National-de-Gel-Terroriste</w:t>
        </w:r>
      </w:hyperlink>
    </w:p>
    <w:p w14:paraId="16DFBA18" w14:textId="77777777" w:rsidR="0023082F" w:rsidRPr="003A7760" w:rsidRDefault="0023082F" w:rsidP="0023082F">
      <w:pPr>
        <w:pStyle w:val="ListParagraph"/>
        <w:numPr>
          <w:ilvl w:val="0"/>
          <w:numId w:val="12"/>
        </w:numPr>
        <w:tabs>
          <w:tab w:val="left" w:pos="709"/>
        </w:tabs>
        <w:suppressAutoHyphens/>
        <w:spacing w:after="120"/>
        <w:jc w:val="both"/>
        <w:rPr>
          <w:rFonts w:cs="Calibri"/>
          <w:sz w:val="20"/>
          <w:lang w:val="en-GB"/>
        </w:rPr>
      </w:pPr>
      <w:r w:rsidRPr="003A7760">
        <w:rPr>
          <w:rFonts w:cs="Calibri"/>
          <w:sz w:val="20"/>
          <w:lang w:val="en-US"/>
        </w:rPr>
        <w:t>be subject to an exclusion ruling issued by the World Bank and be included on the list published at the following address: http://www.worldbank.org/debarr (in the event of such an exclusion ruling, we may attach to this Declaration of Integrity additional information that would make it possible to consider that this exclusion ruling is not relevant in the context of the Contract</w:t>
      </w:r>
      <w:proofErr w:type="gramStart"/>
      <w:r w:rsidRPr="003A7760">
        <w:rPr>
          <w:rFonts w:cs="Calibri"/>
          <w:sz w:val="20"/>
          <w:lang w:val="en-US"/>
        </w:rPr>
        <w:t>);</w:t>
      </w:r>
      <w:proofErr w:type="gramEnd"/>
    </w:p>
    <w:p w14:paraId="1FF2F50D" w14:textId="77777777" w:rsidR="0023082F" w:rsidRPr="003A7760" w:rsidRDefault="0023082F" w:rsidP="0023082F">
      <w:pPr>
        <w:pStyle w:val="ListParagraph"/>
        <w:tabs>
          <w:tab w:val="left" w:pos="709"/>
        </w:tabs>
        <w:spacing w:after="120"/>
        <w:ind w:left="1080"/>
        <w:rPr>
          <w:rFonts w:cs="Calibri"/>
          <w:sz w:val="24"/>
          <w:szCs w:val="24"/>
          <w:lang w:val="en-US"/>
        </w:rPr>
      </w:pPr>
    </w:p>
    <w:p w14:paraId="46AFAE64" w14:textId="77777777" w:rsidR="0023082F" w:rsidRPr="003A7760" w:rsidRDefault="0023082F" w:rsidP="0023082F">
      <w:pPr>
        <w:pStyle w:val="ListParagraph"/>
        <w:numPr>
          <w:ilvl w:val="0"/>
          <w:numId w:val="10"/>
        </w:numPr>
        <w:spacing w:after="120"/>
        <w:rPr>
          <w:rFonts w:cs="Calibri"/>
          <w:szCs w:val="22"/>
          <w:lang w:val="en-GB"/>
        </w:rPr>
      </w:pPr>
      <w:r w:rsidRPr="003A7760">
        <w:rPr>
          <w:rFonts w:cs="Calibri"/>
          <w:szCs w:val="22"/>
          <w:lang w:val="en-GB"/>
        </w:rPr>
        <w:t>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w:t>
      </w:r>
    </w:p>
    <w:p w14:paraId="5CC214C8" w14:textId="77777777" w:rsidR="0023082F" w:rsidRPr="003A7760" w:rsidRDefault="0023082F" w:rsidP="0023082F">
      <w:pPr>
        <w:numPr>
          <w:ilvl w:val="0"/>
          <w:numId w:val="10"/>
        </w:numPr>
        <w:tabs>
          <w:tab w:val="left" w:pos="426"/>
        </w:tabs>
        <w:suppressAutoHyphens/>
        <w:spacing w:before="100" w:beforeAutospacing="1" w:after="240"/>
        <w:ind w:left="425" w:hanging="425"/>
        <w:jc w:val="both"/>
        <w:rPr>
          <w:rFonts w:cs="Calibri"/>
          <w:szCs w:val="22"/>
          <w:lang w:val="en-GB"/>
        </w:rPr>
      </w:pPr>
      <w:r w:rsidRPr="003A7760">
        <w:rPr>
          <w:rFonts w:cs="Calibri"/>
          <w:szCs w:val="22"/>
          <w:lang w:val="en-GB"/>
        </w:rPr>
        <w:t>it has been established by a final judgment or final administrative decision that the person has committed an irregularity within the meaning of Article 1(2) of Council Regulation (EC, Euratom) No 2988/95.</w:t>
      </w:r>
    </w:p>
    <w:p w14:paraId="1CA4306C" w14:textId="77777777" w:rsidR="0023082F" w:rsidRPr="003A7760" w:rsidRDefault="0023082F" w:rsidP="0023082F">
      <w:pPr>
        <w:numPr>
          <w:ilvl w:val="0"/>
          <w:numId w:val="10"/>
        </w:numPr>
        <w:tabs>
          <w:tab w:val="left" w:pos="426"/>
        </w:tabs>
        <w:suppressAutoHyphens/>
        <w:spacing w:after="120"/>
        <w:ind w:left="425" w:hanging="425"/>
        <w:jc w:val="both"/>
        <w:rPr>
          <w:rFonts w:cs="Calibri"/>
          <w:szCs w:val="22"/>
          <w:lang w:val="en-GB"/>
        </w:rPr>
      </w:pPr>
      <w:r w:rsidRPr="003A7760">
        <w:rPr>
          <w:rFonts w:cs="Calibri"/>
          <w:szCs w:val="22"/>
          <w:lang w:val="en-GB"/>
        </w:rPr>
        <w:t>for the situations of grave professional misconduct, fraud, corruption, other criminal offences, significant deficiencies in the performance of the contract or irregularity, the tenderer is subject to:</w:t>
      </w:r>
    </w:p>
    <w:p w14:paraId="61E26B0F" w14:textId="77777777" w:rsidR="0023082F" w:rsidRPr="003A7760" w:rsidRDefault="0023082F" w:rsidP="0023082F">
      <w:pPr>
        <w:numPr>
          <w:ilvl w:val="0"/>
          <w:numId w:val="13"/>
        </w:numPr>
        <w:tabs>
          <w:tab w:val="left" w:pos="709"/>
        </w:tabs>
        <w:suppressAutoHyphens/>
        <w:jc w:val="both"/>
        <w:rPr>
          <w:rFonts w:cs="Calibri"/>
          <w:szCs w:val="22"/>
          <w:lang w:val="en-GB"/>
        </w:rPr>
      </w:pPr>
      <w:r w:rsidRPr="003A7760">
        <w:rPr>
          <w:rFonts w:cs="Calibri"/>
          <w:szCs w:val="22"/>
          <w:lang w:val="en-GB"/>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463217C2" w14:textId="77777777" w:rsidR="0023082F" w:rsidRPr="003A7760" w:rsidRDefault="0023082F" w:rsidP="0023082F">
      <w:pPr>
        <w:numPr>
          <w:ilvl w:val="0"/>
          <w:numId w:val="13"/>
        </w:numPr>
        <w:tabs>
          <w:tab w:val="left" w:pos="709"/>
        </w:tabs>
        <w:suppressAutoHyphens/>
        <w:jc w:val="both"/>
        <w:rPr>
          <w:rFonts w:cs="Calibri"/>
          <w:szCs w:val="22"/>
          <w:lang w:val="en-GB"/>
        </w:rPr>
      </w:pPr>
      <w:r w:rsidRPr="003A7760">
        <w:rPr>
          <w:rFonts w:cs="Calibri"/>
          <w:szCs w:val="22"/>
          <w:lang w:val="en-GB"/>
        </w:rPr>
        <w:lastRenderedPageBreak/>
        <w:t>ii.</w:t>
      </w:r>
      <w:r w:rsidRPr="003A7760">
        <w:rPr>
          <w:rFonts w:cs="Calibri"/>
          <w:szCs w:val="22"/>
          <w:lang w:val="en-GB"/>
        </w:rPr>
        <w:tab/>
        <w:t>non-final administrative decisions which may include disciplinary measures taken by the competent supervisory body responsible for the verification of the application of standards of professional ethics;</w:t>
      </w:r>
    </w:p>
    <w:p w14:paraId="0AC64A3E" w14:textId="77777777" w:rsidR="0023082F" w:rsidRPr="003A7760" w:rsidRDefault="0023082F" w:rsidP="0023082F">
      <w:pPr>
        <w:numPr>
          <w:ilvl w:val="0"/>
          <w:numId w:val="13"/>
        </w:numPr>
        <w:tabs>
          <w:tab w:val="left" w:pos="709"/>
        </w:tabs>
        <w:suppressAutoHyphens/>
        <w:jc w:val="both"/>
        <w:rPr>
          <w:rFonts w:cs="Calibri"/>
          <w:szCs w:val="22"/>
          <w:lang w:val="en-GB"/>
        </w:rPr>
      </w:pPr>
      <w:r w:rsidRPr="003A7760">
        <w:rPr>
          <w:rFonts w:cs="Calibri"/>
          <w:szCs w:val="22"/>
          <w:lang w:val="en-GB"/>
        </w:rPr>
        <w:t>iii.</w:t>
      </w:r>
      <w:r w:rsidRPr="003A7760">
        <w:rPr>
          <w:rFonts w:cs="Calibri"/>
          <w:szCs w:val="22"/>
          <w:lang w:val="en-GB"/>
        </w:rPr>
        <w:tab/>
        <w:t xml:space="preserve">decisions of the ECB, the EIB, the European Investment Fund or international </w:t>
      </w:r>
      <w:proofErr w:type="gramStart"/>
      <w:r w:rsidRPr="003A7760">
        <w:rPr>
          <w:rFonts w:cs="Calibri"/>
          <w:szCs w:val="22"/>
          <w:lang w:val="en-GB"/>
        </w:rPr>
        <w:t>organisations;</w:t>
      </w:r>
      <w:proofErr w:type="gramEnd"/>
    </w:p>
    <w:p w14:paraId="741ADB0D" w14:textId="77777777" w:rsidR="0023082F" w:rsidRPr="003A7760" w:rsidRDefault="0023082F" w:rsidP="0023082F">
      <w:pPr>
        <w:numPr>
          <w:ilvl w:val="0"/>
          <w:numId w:val="13"/>
        </w:numPr>
        <w:tabs>
          <w:tab w:val="left" w:pos="709"/>
        </w:tabs>
        <w:suppressAutoHyphens/>
        <w:jc w:val="both"/>
        <w:rPr>
          <w:rFonts w:cs="Calibri"/>
          <w:szCs w:val="22"/>
          <w:lang w:val="en-GB"/>
        </w:rPr>
      </w:pPr>
      <w:r w:rsidRPr="003A7760">
        <w:rPr>
          <w:rFonts w:cs="Calibri"/>
          <w:szCs w:val="22"/>
          <w:lang w:val="en-GB"/>
        </w:rPr>
        <w:t>iv.</w:t>
      </w:r>
      <w:r w:rsidRPr="003A7760">
        <w:rPr>
          <w:rFonts w:cs="Calibri"/>
          <w:szCs w:val="22"/>
          <w:lang w:val="en-GB"/>
        </w:rPr>
        <w:tab/>
        <w:t>decisions of the Commission relating to the infringement of the Union's competition rules or of a national competent authority relating to the infringement of Union or national competition law; or</w:t>
      </w:r>
    </w:p>
    <w:p w14:paraId="45527A35" w14:textId="77777777" w:rsidR="0023082F" w:rsidRPr="003A7760" w:rsidRDefault="0023082F" w:rsidP="0023082F">
      <w:pPr>
        <w:numPr>
          <w:ilvl w:val="0"/>
          <w:numId w:val="13"/>
        </w:numPr>
        <w:tabs>
          <w:tab w:val="left" w:pos="709"/>
        </w:tabs>
        <w:suppressAutoHyphens/>
        <w:jc w:val="both"/>
        <w:rPr>
          <w:rFonts w:cs="Calibri"/>
          <w:szCs w:val="22"/>
          <w:lang w:val="en-GB"/>
        </w:rPr>
      </w:pPr>
      <w:r w:rsidRPr="003A7760">
        <w:rPr>
          <w:rFonts w:cs="Calibri"/>
          <w:szCs w:val="22"/>
          <w:lang w:val="en-GB"/>
        </w:rPr>
        <w:t>v.</w:t>
      </w:r>
      <w:r w:rsidRPr="003A7760">
        <w:rPr>
          <w:rFonts w:cs="Calibri"/>
          <w:szCs w:val="22"/>
          <w:lang w:val="en-GB"/>
        </w:rPr>
        <w:tab/>
        <w:t>decisions of exclusion by an authorising officer of an EU institution, of a European office or of an EU agency or body</w:t>
      </w:r>
    </w:p>
    <w:p w14:paraId="08272018" w14:textId="77777777" w:rsidR="0023082F" w:rsidRPr="003A7760" w:rsidRDefault="0023082F" w:rsidP="0023082F">
      <w:pPr>
        <w:tabs>
          <w:tab w:val="left" w:pos="709"/>
        </w:tabs>
        <w:rPr>
          <w:rFonts w:cs="Calibri"/>
          <w:sz w:val="24"/>
          <w:szCs w:val="24"/>
          <w:lang w:val="en-GB"/>
        </w:rPr>
      </w:pPr>
    </w:p>
    <w:p w14:paraId="6006EE37" w14:textId="77777777" w:rsidR="0023082F" w:rsidRPr="007D3D49" w:rsidRDefault="0023082F" w:rsidP="0023082F">
      <w:pPr>
        <w:keepLines/>
        <w:tabs>
          <w:tab w:val="left" w:pos="420"/>
        </w:tabs>
        <w:spacing w:after="120"/>
        <w:ind w:left="420" w:right="285" w:hanging="420"/>
        <w:rPr>
          <w:rFonts w:cs="Calibri"/>
          <w:b/>
          <w:color w:val="766A4C"/>
          <w:szCs w:val="22"/>
          <w:lang w:val="en-GB"/>
        </w:rPr>
      </w:pPr>
      <w:r w:rsidRPr="007D3D49">
        <w:rPr>
          <w:rFonts w:cs="Calibri"/>
          <w:b/>
          <w:color w:val="766A4C"/>
          <w:szCs w:val="22"/>
          <w:lang w:val="en-GB"/>
        </w:rPr>
        <w:t xml:space="preserve">2.   Situations of exclusion concerning natural persons with power of representation, decision-making or control over the legal person </w:t>
      </w:r>
      <w:r w:rsidRPr="007D3D49">
        <w:rPr>
          <w:rFonts w:cs="Calibri"/>
          <w:b/>
          <w:color w:val="766A4C"/>
          <w:szCs w:val="22"/>
          <w:lang w:val="en-GB"/>
        </w:rPr>
        <w:br/>
      </w:r>
      <w:r w:rsidRPr="007D3D49">
        <w:rPr>
          <w:rFonts w:cs="Calibri"/>
          <w:color w:val="766A4C"/>
          <w:szCs w:val="22"/>
          <w:lang w:val="en-GB"/>
        </w:rPr>
        <w:t>(not applicable to natural persons, Member States and local authorities)</w:t>
      </w:r>
    </w:p>
    <w:p w14:paraId="04EDA859" w14:textId="77777777" w:rsidR="0023082F" w:rsidRPr="007D3D49" w:rsidRDefault="0023082F" w:rsidP="0023082F">
      <w:pPr>
        <w:numPr>
          <w:ilvl w:val="0"/>
          <w:numId w:val="10"/>
        </w:numPr>
        <w:tabs>
          <w:tab w:val="left" w:pos="426"/>
        </w:tabs>
        <w:suppressAutoHyphens/>
        <w:spacing w:before="120" w:after="120"/>
        <w:ind w:left="425" w:hanging="425"/>
        <w:jc w:val="both"/>
        <w:rPr>
          <w:rFonts w:cs="Calibri"/>
          <w:szCs w:val="22"/>
          <w:lang w:val="en-GB"/>
        </w:rPr>
      </w:pPr>
      <w:r w:rsidRPr="007D3D49">
        <w:rPr>
          <w:rFonts w:cs="Calibri"/>
          <w:szCs w:val="22"/>
          <w:lang w:val="en-GB"/>
        </w:rPr>
        <w:t>declares that a natural person who is a member of the administrative, management or supervisory body of the above-mentioned legal person, or who has powers of representation, decision or control with regard to the above-mentioned legal person (this covers company directors, members of management or supervisory bodies, and cases where one natural person holds a majority of shares) is in one of the following situations:</w:t>
      </w:r>
    </w:p>
    <w:p w14:paraId="2C60152E" w14:textId="77777777" w:rsidR="0023082F" w:rsidRPr="007D3D49" w:rsidRDefault="0023082F" w:rsidP="0023082F">
      <w:pPr>
        <w:numPr>
          <w:ilvl w:val="0"/>
          <w:numId w:val="14"/>
        </w:numPr>
        <w:tabs>
          <w:tab w:val="left" w:pos="709"/>
        </w:tabs>
        <w:suppressAutoHyphens/>
        <w:jc w:val="both"/>
        <w:rPr>
          <w:rFonts w:cs="Calibri"/>
          <w:sz w:val="20"/>
          <w:lang w:val="en-GB"/>
        </w:rPr>
      </w:pPr>
      <w:r w:rsidRPr="007D3D49">
        <w:rPr>
          <w:rFonts w:cs="Calibri"/>
          <w:sz w:val="20"/>
          <w:lang w:val="en-GB"/>
        </w:rPr>
        <w:t>Situation (c) above (grave professional misconduct)</w:t>
      </w:r>
    </w:p>
    <w:p w14:paraId="7D195E0C" w14:textId="77777777" w:rsidR="0023082F" w:rsidRPr="007D3D49" w:rsidRDefault="0023082F" w:rsidP="0023082F">
      <w:pPr>
        <w:numPr>
          <w:ilvl w:val="0"/>
          <w:numId w:val="14"/>
        </w:numPr>
        <w:tabs>
          <w:tab w:val="left" w:pos="709"/>
        </w:tabs>
        <w:suppressAutoHyphens/>
        <w:jc w:val="both"/>
        <w:rPr>
          <w:rFonts w:cs="Calibri"/>
          <w:sz w:val="20"/>
          <w:lang w:val="en-GB"/>
        </w:rPr>
      </w:pPr>
      <w:r w:rsidRPr="007D3D49">
        <w:rPr>
          <w:rFonts w:cs="Calibri"/>
          <w:sz w:val="20"/>
          <w:lang w:val="en-GB"/>
        </w:rPr>
        <w:t>Situation (d) above (fraud, corruption or other criminal offence)</w:t>
      </w:r>
    </w:p>
    <w:p w14:paraId="5139F87B" w14:textId="77777777" w:rsidR="0023082F" w:rsidRPr="007D3D49" w:rsidRDefault="0023082F" w:rsidP="0023082F">
      <w:pPr>
        <w:numPr>
          <w:ilvl w:val="0"/>
          <w:numId w:val="14"/>
        </w:numPr>
        <w:tabs>
          <w:tab w:val="left" w:pos="709"/>
        </w:tabs>
        <w:suppressAutoHyphens/>
        <w:jc w:val="both"/>
        <w:rPr>
          <w:rFonts w:cs="Calibri"/>
          <w:sz w:val="20"/>
          <w:lang w:val="en-GB"/>
        </w:rPr>
      </w:pPr>
      <w:r w:rsidRPr="007D3D49">
        <w:rPr>
          <w:rFonts w:cs="Calibri"/>
          <w:sz w:val="20"/>
          <w:lang w:val="en-GB"/>
        </w:rPr>
        <w:t>Situation (e) above (significant deficiencies in performance of a contract)</w:t>
      </w:r>
    </w:p>
    <w:p w14:paraId="37FE65EB" w14:textId="77777777" w:rsidR="0023082F" w:rsidRPr="007D3D49" w:rsidRDefault="0023082F" w:rsidP="0023082F">
      <w:pPr>
        <w:numPr>
          <w:ilvl w:val="0"/>
          <w:numId w:val="14"/>
        </w:numPr>
        <w:tabs>
          <w:tab w:val="left" w:pos="709"/>
        </w:tabs>
        <w:suppressAutoHyphens/>
        <w:jc w:val="both"/>
        <w:rPr>
          <w:rFonts w:cs="Calibri"/>
          <w:sz w:val="20"/>
          <w:lang w:val="en-GB"/>
        </w:rPr>
      </w:pPr>
      <w:r w:rsidRPr="007D3D49">
        <w:rPr>
          <w:rFonts w:cs="Calibri"/>
          <w:sz w:val="20"/>
          <w:lang w:val="en-GB"/>
        </w:rPr>
        <w:t>Situation (f) above (irregularity)</w:t>
      </w:r>
    </w:p>
    <w:p w14:paraId="3598BD0B" w14:textId="77777777" w:rsidR="0023082F" w:rsidRPr="003A7760" w:rsidRDefault="0023082F" w:rsidP="0023082F">
      <w:pPr>
        <w:tabs>
          <w:tab w:val="left" w:pos="709"/>
        </w:tabs>
        <w:rPr>
          <w:rFonts w:cs="Calibri"/>
          <w:sz w:val="24"/>
          <w:szCs w:val="24"/>
          <w:lang w:val="en-GB"/>
        </w:rPr>
      </w:pPr>
    </w:p>
    <w:p w14:paraId="3F990C36" w14:textId="77777777" w:rsidR="0023082F" w:rsidRPr="007D3D49" w:rsidRDefault="0023082F" w:rsidP="0023082F">
      <w:pPr>
        <w:keepLines/>
        <w:tabs>
          <w:tab w:val="left" w:pos="420"/>
        </w:tabs>
        <w:spacing w:after="120"/>
        <w:ind w:left="420" w:right="285" w:hanging="420"/>
        <w:rPr>
          <w:rFonts w:cs="Calibri"/>
          <w:b/>
          <w:color w:val="766A4C"/>
          <w:szCs w:val="22"/>
          <w:lang w:val="en-GB"/>
        </w:rPr>
      </w:pPr>
      <w:r w:rsidRPr="007D3D49">
        <w:rPr>
          <w:rFonts w:cs="Calibri"/>
          <w:b/>
          <w:color w:val="766A4C"/>
          <w:szCs w:val="22"/>
          <w:lang w:val="en-GB"/>
        </w:rPr>
        <w:t>3.  Situations of exclusion concerning natural or legal persons assuming unlimited liability for the debts of the legal person</w:t>
      </w:r>
    </w:p>
    <w:p w14:paraId="6D765CD0" w14:textId="77777777" w:rsidR="0023082F" w:rsidRPr="007D3D49" w:rsidRDefault="0023082F" w:rsidP="0023082F">
      <w:pPr>
        <w:numPr>
          <w:ilvl w:val="0"/>
          <w:numId w:val="10"/>
        </w:numPr>
        <w:tabs>
          <w:tab w:val="left" w:pos="426"/>
        </w:tabs>
        <w:suppressAutoHyphens/>
        <w:spacing w:before="120" w:after="120"/>
        <w:ind w:left="425" w:hanging="425"/>
        <w:jc w:val="both"/>
        <w:rPr>
          <w:rFonts w:cs="Calibri"/>
          <w:szCs w:val="22"/>
          <w:lang w:val="en-GB"/>
        </w:rPr>
      </w:pPr>
      <w:r w:rsidRPr="007D3D49">
        <w:rPr>
          <w:rFonts w:cs="Calibri"/>
          <w:szCs w:val="22"/>
          <w:lang w:val="en-GB"/>
        </w:rPr>
        <w:t>declares that a natural or legal person that assumes unlimited liability for the debts of the above-mentioned legal person is in one of the following situations:</w:t>
      </w:r>
    </w:p>
    <w:p w14:paraId="70D398A9" w14:textId="77777777" w:rsidR="0023082F" w:rsidRPr="007D3D49" w:rsidRDefault="0023082F" w:rsidP="0023082F">
      <w:pPr>
        <w:numPr>
          <w:ilvl w:val="0"/>
          <w:numId w:val="15"/>
        </w:numPr>
        <w:tabs>
          <w:tab w:val="left" w:pos="709"/>
        </w:tabs>
        <w:suppressAutoHyphens/>
        <w:jc w:val="both"/>
        <w:rPr>
          <w:rFonts w:cs="Calibri"/>
          <w:sz w:val="20"/>
          <w:lang w:val="en-GB"/>
        </w:rPr>
      </w:pPr>
      <w:r w:rsidRPr="007D3D49">
        <w:rPr>
          <w:rFonts w:cs="Calibri"/>
          <w:sz w:val="20"/>
          <w:lang w:val="en-GB"/>
        </w:rPr>
        <w:t>Situation (a) above (bankruptcy)</w:t>
      </w:r>
    </w:p>
    <w:p w14:paraId="00948A67" w14:textId="77777777" w:rsidR="0023082F" w:rsidRPr="007D3D49" w:rsidRDefault="0023082F" w:rsidP="0023082F">
      <w:pPr>
        <w:numPr>
          <w:ilvl w:val="0"/>
          <w:numId w:val="15"/>
        </w:numPr>
        <w:tabs>
          <w:tab w:val="left" w:pos="709"/>
        </w:tabs>
        <w:suppressAutoHyphens/>
        <w:jc w:val="both"/>
        <w:rPr>
          <w:rFonts w:cs="Calibri"/>
          <w:sz w:val="20"/>
          <w:lang w:val="en-GB"/>
        </w:rPr>
      </w:pPr>
      <w:r w:rsidRPr="007D3D49">
        <w:rPr>
          <w:rFonts w:cs="Calibri"/>
          <w:sz w:val="20"/>
          <w:lang w:val="en-GB"/>
        </w:rPr>
        <w:t>Situation (b) above (breach in payment of taxes or social security contributions)</w:t>
      </w:r>
    </w:p>
    <w:p w14:paraId="5D8E4066" w14:textId="77777777" w:rsidR="0023082F" w:rsidRPr="003A7760" w:rsidRDefault="0023082F" w:rsidP="0023082F">
      <w:pPr>
        <w:tabs>
          <w:tab w:val="left" w:pos="709"/>
        </w:tabs>
        <w:rPr>
          <w:rFonts w:cs="Calibri"/>
          <w:sz w:val="24"/>
          <w:szCs w:val="24"/>
          <w:lang w:val="en-GB"/>
        </w:rPr>
      </w:pPr>
    </w:p>
    <w:p w14:paraId="35495EA0" w14:textId="77777777" w:rsidR="0023082F" w:rsidRPr="007D3D49" w:rsidRDefault="0023082F" w:rsidP="00607929">
      <w:pPr>
        <w:keepLines/>
        <w:tabs>
          <w:tab w:val="left" w:pos="420"/>
        </w:tabs>
        <w:spacing w:after="120"/>
        <w:ind w:left="420" w:right="284" w:hanging="420"/>
        <w:rPr>
          <w:rFonts w:cs="Calibri"/>
          <w:b/>
          <w:color w:val="766A4C"/>
          <w:szCs w:val="22"/>
          <w:lang w:val="en-GB"/>
        </w:rPr>
      </w:pPr>
      <w:r w:rsidRPr="007D3D49">
        <w:rPr>
          <w:rFonts w:cs="Calibri"/>
          <w:b/>
          <w:color w:val="766A4C"/>
          <w:szCs w:val="22"/>
          <w:lang w:val="en-GB"/>
        </w:rPr>
        <w:t>4.   Exclusion situation in connection with the awarding and performance of the Contract</w:t>
      </w:r>
    </w:p>
    <w:p w14:paraId="105B7C20" w14:textId="77777777" w:rsidR="0023082F" w:rsidRPr="007D3D49" w:rsidRDefault="0023082F" w:rsidP="0023082F">
      <w:pPr>
        <w:numPr>
          <w:ilvl w:val="0"/>
          <w:numId w:val="10"/>
        </w:numPr>
        <w:tabs>
          <w:tab w:val="left" w:pos="426"/>
        </w:tabs>
        <w:suppressAutoHyphens/>
        <w:spacing w:after="120"/>
        <w:ind w:left="426" w:right="198" w:hanging="426"/>
        <w:jc w:val="both"/>
        <w:rPr>
          <w:rFonts w:cs="Calibri"/>
          <w:szCs w:val="22"/>
          <w:lang w:val="en-US"/>
        </w:rPr>
      </w:pPr>
      <w:r w:rsidRPr="007D3D49">
        <w:rPr>
          <w:rFonts w:cs="Calibri"/>
          <w:szCs w:val="22"/>
          <w:lang w:val="en-US"/>
        </w:rPr>
        <w:t xml:space="preserve">Commit a deceitful </w:t>
      </w:r>
      <w:proofErr w:type="spellStart"/>
      <w:r w:rsidRPr="007D3D49">
        <w:rPr>
          <w:rFonts w:cs="Calibri"/>
          <w:szCs w:val="22"/>
          <w:lang w:val="en-US"/>
        </w:rPr>
        <w:t>manoeuvre</w:t>
      </w:r>
      <w:proofErr w:type="spellEnd"/>
      <w:r w:rsidRPr="007D3D49">
        <w:rPr>
          <w:rFonts w:cs="Calibri"/>
          <w:szCs w:val="22"/>
          <w:lang w:val="en-US"/>
        </w:rPr>
        <w:t xml:space="preserve"> (action or omission) intended to intentionally deceive others, to intentionally conceal elements from them, to surprise or vitiate their consent or to circumvent legal or regulatory obligations and/or to violate their internal rules </w:t>
      </w:r>
      <w:proofErr w:type="gramStart"/>
      <w:r w:rsidRPr="007D3D49">
        <w:rPr>
          <w:rFonts w:cs="Calibri"/>
          <w:szCs w:val="22"/>
          <w:lang w:val="en-US"/>
        </w:rPr>
        <w:t>in order to</w:t>
      </w:r>
      <w:proofErr w:type="gramEnd"/>
      <w:r w:rsidRPr="007D3D49">
        <w:rPr>
          <w:rFonts w:cs="Calibri"/>
          <w:szCs w:val="22"/>
          <w:lang w:val="en-US"/>
        </w:rPr>
        <w:t xml:space="preserve"> obtain an illegitimate benefit.</w:t>
      </w:r>
    </w:p>
    <w:p w14:paraId="20B57FCA" w14:textId="77777777" w:rsidR="0023082F" w:rsidRPr="007D3D49" w:rsidRDefault="0023082F" w:rsidP="0023082F">
      <w:pPr>
        <w:numPr>
          <w:ilvl w:val="0"/>
          <w:numId w:val="10"/>
        </w:numPr>
        <w:tabs>
          <w:tab w:val="left" w:pos="426"/>
        </w:tabs>
        <w:suppressAutoHyphens/>
        <w:spacing w:after="120"/>
        <w:ind w:left="426" w:right="198" w:hanging="426"/>
        <w:jc w:val="both"/>
        <w:rPr>
          <w:rFonts w:cs="Calibri"/>
          <w:szCs w:val="22"/>
          <w:lang w:val="en-US"/>
        </w:rPr>
      </w:pPr>
      <w:r w:rsidRPr="007D3D49">
        <w:rPr>
          <w:rFonts w:cs="Calibri"/>
          <w:szCs w:val="22"/>
          <w:lang w:val="en-US"/>
        </w:rPr>
        <w:t xml:space="preserve">Commit a deceitful </w:t>
      </w:r>
      <w:proofErr w:type="spellStart"/>
      <w:r w:rsidRPr="007D3D49">
        <w:rPr>
          <w:rFonts w:cs="Calibri"/>
          <w:szCs w:val="22"/>
          <w:lang w:val="en-US"/>
        </w:rPr>
        <w:t>manoeuvre</w:t>
      </w:r>
      <w:proofErr w:type="spellEnd"/>
      <w:r w:rsidRPr="007D3D49">
        <w:rPr>
          <w:rFonts w:cs="Calibri"/>
          <w:szCs w:val="22"/>
          <w:lang w:val="en-US"/>
        </w:rPr>
        <w:t xml:space="preserve"> (action or omission) contrary to legal or regulatory obligations and/or internal rules </w:t>
      </w:r>
      <w:proofErr w:type="gramStart"/>
      <w:r w:rsidRPr="007D3D49">
        <w:rPr>
          <w:rFonts w:cs="Calibri"/>
          <w:szCs w:val="22"/>
          <w:lang w:val="en-US"/>
        </w:rPr>
        <w:t>in order to</w:t>
      </w:r>
      <w:proofErr w:type="gramEnd"/>
      <w:r w:rsidRPr="007D3D49">
        <w:rPr>
          <w:rFonts w:cs="Calibri"/>
          <w:szCs w:val="22"/>
          <w:lang w:val="en-US"/>
        </w:rPr>
        <w:t xml:space="preserve"> obtain an illegitimate benefit.</w:t>
      </w:r>
    </w:p>
    <w:p w14:paraId="6DF429A5" w14:textId="77777777" w:rsidR="0023082F" w:rsidRPr="007D3D49" w:rsidRDefault="0023082F" w:rsidP="0023082F">
      <w:pPr>
        <w:numPr>
          <w:ilvl w:val="0"/>
          <w:numId w:val="10"/>
        </w:numPr>
        <w:tabs>
          <w:tab w:val="left" w:pos="426"/>
        </w:tabs>
        <w:suppressAutoHyphens/>
        <w:spacing w:after="120"/>
        <w:ind w:left="426" w:right="198" w:hanging="426"/>
        <w:jc w:val="both"/>
        <w:rPr>
          <w:rFonts w:cs="Calibri"/>
          <w:szCs w:val="22"/>
          <w:lang w:val="en-US"/>
        </w:rPr>
      </w:pPr>
      <w:r w:rsidRPr="007D3D49">
        <w:rPr>
          <w:rFonts w:cs="Calibri"/>
          <w:szCs w:val="22"/>
          <w:lang w:val="en-US"/>
        </w:rPr>
        <w:t>Promise, offer or give directly or indirectly to (</w:t>
      </w:r>
      <w:proofErr w:type="spellStart"/>
      <w:r w:rsidRPr="007D3D49">
        <w:rPr>
          <w:rFonts w:cs="Calibri"/>
          <w:szCs w:val="22"/>
          <w:lang w:val="en-US"/>
        </w:rPr>
        <w:t>i</w:t>
      </w:r>
      <w:proofErr w:type="spellEnd"/>
      <w:r w:rsidRPr="007D3D49">
        <w:rPr>
          <w:rFonts w:cs="Calibri"/>
          <w:szCs w:val="22"/>
          <w:lang w:val="en-US"/>
        </w:rPr>
        <w:t xml:space="preserve">) any Individual with a legislative, executive, administrative or judicial mandate in the State of the person, whether appointed or elected, permanently or otherwise, whether or not they are paid and regardless of their hierarchical level, (ii) any other person who performs a public function, including for a public body or a public enterprise, or who provides a public service, or (iii) any other individual defined as a public official in the State of the person, an undue advantage of any </w:t>
      </w:r>
      <w:r w:rsidRPr="007D3D49">
        <w:rPr>
          <w:rFonts w:cs="Calibri"/>
          <w:szCs w:val="22"/>
          <w:lang w:val="en-US"/>
        </w:rPr>
        <w:lastRenderedPageBreak/>
        <w:t>kind, for themselves or for another person or entity, to carry out or refrain from carrying out an act in the performance of their official duties.</w:t>
      </w:r>
    </w:p>
    <w:p w14:paraId="4AEE80CC" w14:textId="77777777" w:rsidR="0023082F" w:rsidRPr="007D3D49" w:rsidRDefault="0023082F" w:rsidP="0023082F">
      <w:pPr>
        <w:numPr>
          <w:ilvl w:val="0"/>
          <w:numId w:val="10"/>
        </w:numPr>
        <w:tabs>
          <w:tab w:val="left" w:pos="426"/>
        </w:tabs>
        <w:suppressAutoHyphens/>
        <w:spacing w:after="120"/>
        <w:ind w:left="426" w:right="198" w:hanging="426"/>
        <w:jc w:val="both"/>
        <w:rPr>
          <w:rFonts w:cs="Calibri"/>
          <w:szCs w:val="22"/>
          <w:lang w:val="en-US"/>
        </w:rPr>
      </w:pPr>
      <w:r w:rsidRPr="007D3D49">
        <w:rPr>
          <w:rFonts w:cs="Calibri"/>
          <w:szCs w:val="22"/>
          <w:lang w:val="en-US"/>
        </w:rPr>
        <w:t>Promise, offer or grant, directly or indirectly, to any person who heads or works for any entity in the private sector, in any capacity whatsoever, an undue advantage of any kind, for themselves or for any other Person or entity, to perform or refrain from performing an act in violation of their legal, contractual or professional obligations.</w:t>
      </w:r>
    </w:p>
    <w:p w14:paraId="3ACFF4A4" w14:textId="77777777" w:rsidR="0023082F" w:rsidRPr="007D3D49" w:rsidRDefault="0023082F" w:rsidP="0023082F">
      <w:pPr>
        <w:numPr>
          <w:ilvl w:val="0"/>
          <w:numId w:val="10"/>
        </w:numPr>
        <w:tabs>
          <w:tab w:val="left" w:pos="426"/>
        </w:tabs>
        <w:suppressAutoHyphens/>
        <w:spacing w:after="120"/>
        <w:ind w:left="426" w:right="198" w:hanging="426"/>
        <w:jc w:val="both"/>
        <w:rPr>
          <w:rFonts w:cs="Calibri"/>
          <w:szCs w:val="22"/>
          <w:lang w:val="en-US"/>
        </w:rPr>
      </w:pPr>
      <w:r w:rsidRPr="007D3D49">
        <w:rPr>
          <w:rFonts w:cs="Calibri"/>
          <w:szCs w:val="22"/>
          <w:lang w:val="en-US"/>
        </w:rPr>
        <w:t>Commit an act likely to influence the procurement process and</w:t>
      </w:r>
      <w:proofErr w:type="gramStart"/>
      <w:r w:rsidRPr="007D3D49">
        <w:rPr>
          <w:rFonts w:cs="Calibri"/>
          <w:szCs w:val="22"/>
          <w:lang w:val="en-US"/>
        </w:rPr>
        <w:t>, in particular, no</w:t>
      </w:r>
      <w:proofErr w:type="gramEnd"/>
      <w:r w:rsidRPr="007D3D49">
        <w:rPr>
          <w:rFonts w:cs="Calibri"/>
          <w:szCs w:val="22"/>
          <w:lang w:val="en-US"/>
        </w:rPr>
        <w:t xml:space="preserve"> anti-competitive practices having the purpose or effect of preventing, restricting or distorting competition, </w:t>
      </w:r>
      <w:proofErr w:type="gramStart"/>
      <w:r w:rsidRPr="007D3D49">
        <w:rPr>
          <w:rFonts w:cs="Calibri"/>
          <w:szCs w:val="22"/>
          <w:lang w:val="en-US"/>
        </w:rPr>
        <w:t>in particular by</w:t>
      </w:r>
      <w:proofErr w:type="gramEnd"/>
      <w:r w:rsidRPr="007D3D49">
        <w:rPr>
          <w:rFonts w:cs="Calibri"/>
          <w:szCs w:val="22"/>
          <w:lang w:val="en-US"/>
        </w:rPr>
        <w:t xml:space="preserve"> limiting access to the Contract or the free exercise of competition by other companies.</w:t>
      </w:r>
    </w:p>
    <w:p w14:paraId="56E90BF2" w14:textId="77777777" w:rsidR="0023082F" w:rsidRPr="007D3D49" w:rsidRDefault="0023082F" w:rsidP="0023082F">
      <w:pPr>
        <w:numPr>
          <w:ilvl w:val="0"/>
          <w:numId w:val="10"/>
        </w:numPr>
        <w:tabs>
          <w:tab w:val="left" w:pos="426"/>
        </w:tabs>
        <w:suppressAutoHyphens/>
        <w:spacing w:after="120"/>
        <w:ind w:left="426" w:right="198" w:hanging="426"/>
        <w:jc w:val="both"/>
        <w:rPr>
          <w:rFonts w:cs="Calibri"/>
          <w:szCs w:val="22"/>
          <w:lang w:val="en-US"/>
        </w:rPr>
      </w:pPr>
      <w:r w:rsidRPr="007D3D49">
        <w:rPr>
          <w:rFonts w:cs="Calibri"/>
          <w:szCs w:val="22"/>
          <w:lang w:val="en-US"/>
        </w:rPr>
        <w:t xml:space="preserve">Acquire or supply equipment and intervene in sectors under embargo of the United Nations, the European Union or France. </w:t>
      </w:r>
    </w:p>
    <w:p w14:paraId="457C30FC" w14:textId="77777777" w:rsidR="0023082F" w:rsidRPr="007D3D49" w:rsidRDefault="0023082F" w:rsidP="0023082F">
      <w:pPr>
        <w:numPr>
          <w:ilvl w:val="0"/>
          <w:numId w:val="10"/>
        </w:numPr>
        <w:tabs>
          <w:tab w:val="left" w:pos="426"/>
        </w:tabs>
        <w:suppressAutoHyphens/>
        <w:spacing w:after="120"/>
        <w:ind w:left="426" w:right="198" w:hanging="426"/>
        <w:jc w:val="both"/>
        <w:rPr>
          <w:rFonts w:cs="Calibri"/>
          <w:szCs w:val="22"/>
          <w:lang w:val="en-US"/>
        </w:rPr>
      </w:pPr>
      <w:r w:rsidRPr="007D3D49">
        <w:rPr>
          <w:rFonts w:cs="Calibri"/>
          <w:szCs w:val="22"/>
          <w:lang w:val="en-US"/>
        </w:rPr>
        <w:t xml:space="preserve">Fail to respect and enforce by all its subcontractors the environmental and social standards </w:t>
      </w:r>
      <w:proofErr w:type="spellStart"/>
      <w:r w:rsidRPr="007D3D49">
        <w:rPr>
          <w:rFonts w:cs="Calibri"/>
          <w:szCs w:val="22"/>
          <w:lang w:val="en-US"/>
        </w:rPr>
        <w:t>recognised</w:t>
      </w:r>
      <w:proofErr w:type="spellEnd"/>
      <w:r w:rsidRPr="007D3D49">
        <w:rPr>
          <w:rFonts w:cs="Calibri"/>
          <w:szCs w:val="22"/>
          <w:lang w:val="en-US"/>
        </w:rPr>
        <w:t xml:space="preserve"> by the international community, including the fundamental conventions of the International </w:t>
      </w:r>
      <w:proofErr w:type="spellStart"/>
      <w:r w:rsidRPr="007D3D49">
        <w:rPr>
          <w:rFonts w:cs="Calibri"/>
          <w:szCs w:val="22"/>
          <w:lang w:val="en-US"/>
        </w:rPr>
        <w:t>Labour</w:t>
      </w:r>
      <w:proofErr w:type="spellEnd"/>
      <w:r w:rsidRPr="007D3D49">
        <w:rPr>
          <w:rFonts w:cs="Calibri"/>
          <w:szCs w:val="22"/>
          <w:lang w:val="en-US"/>
        </w:rPr>
        <w:t xml:space="preserve"> Organization (ILO) and international conventions for the protection of the environment, consistent with the laws and regulations applicable to the country of completion of the Contract. In addition, the person does not commit to implementing environmental and social risk mitigation measures when they are indicated in the environmental and social management plan provided by COLEAD.</w:t>
      </w:r>
    </w:p>
    <w:p w14:paraId="487006DE" w14:textId="77777777" w:rsidR="0023082F" w:rsidRPr="007D3D49" w:rsidRDefault="0023082F" w:rsidP="0023082F">
      <w:pPr>
        <w:numPr>
          <w:ilvl w:val="0"/>
          <w:numId w:val="10"/>
        </w:numPr>
        <w:tabs>
          <w:tab w:val="left" w:pos="426"/>
        </w:tabs>
        <w:suppressAutoHyphens/>
        <w:spacing w:after="120"/>
        <w:ind w:left="426" w:right="198" w:hanging="426"/>
        <w:jc w:val="both"/>
        <w:rPr>
          <w:rFonts w:cs="Calibri"/>
          <w:szCs w:val="22"/>
          <w:lang w:val="en-US"/>
        </w:rPr>
      </w:pPr>
      <w:r w:rsidRPr="007D3D49">
        <w:rPr>
          <w:rFonts w:cs="Calibri"/>
          <w:szCs w:val="22"/>
          <w:lang w:val="en-US"/>
        </w:rPr>
        <w:t>In the case of a public institution or a public company, to participate in a competitive bidding procedure, not be able to certify that they have the legal and financial autonomy and that they are managed according to the rules of commercial law.</w:t>
      </w:r>
    </w:p>
    <w:p w14:paraId="0CC44BE4" w14:textId="77777777" w:rsidR="0023082F" w:rsidRPr="007D3D49" w:rsidRDefault="0023082F" w:rsidP="0023082F">
      <w:pPr>
        <w:numPr>
          <w:ilvl w:val="0"/>
          <w:numId w:val="10"/>
        </w:numPr>
        <w:tabs>
          <w:tab w:val="left" w:pos="426"/>
        </w:tabs>
        <w:suppressAutoHyphens/>
        <w:spacing w:after="120"/>
        <w:ind w:left="426" w:right="198" w:hanging="426"/>
        <w:jc w:val="both"/>
        <w:rPr>
          <w:rFonts w:cs="Calibri"/>
          <w:szCs w:val="22"/>
          <w:lang w:val="en-US"/>
        </w:rPr>
      </w:pPr>
      <w:r w:rsidRPr="007D3D49">
        <w:rPr>
          <w:rFonts w:cs="Calibri"/>
          <w:szCs w:val="22"/>
          <w:lang w:val="en-US"/>
        </w:rPr>
        <w:t>The person and any members of their group as well as their suppliers, contractors, consultants and subcontractors, are in one of the following conflicts of interest situations:</w:t>
      </w:r>
    </w:p>
    <w:p w14:paraId="61A02A1D" w14:textId="77777777" w:rsidR="0023082F" w:rsidRPr="00D213E6" w:rsidRDefault="0023082F" w:rsidP="0023082F">
      <w:pPr>
        <w:numPr>
          <w:ilvl w:val="0"/>
          <w:numId w:val="16"/>
        </w:numPr>
        <w:tabs>
          <w:tab w:val="left" w:pos="709"/>
        </w:tabs>
        <w:suppressAutoHyphens/>
        <w:ind w:right="198"/>
        <w:jc w:val="both"/>
        <w:rPr>
          <w:rFonts w:cs="Calibri"/>
          <w:sz w:val="20"/>
          <w:lang w:val="en-US"/>
        </w:rPr>
      </w:pPr>
      <w:r w:rsidRPr="00D213E6">
        <w:rPr>
          <w:rFonts w:cs="Calibri"/>
          <w:sz w:val="20"/>
          <w:lang w:val="en-US"/>
        </w:rPr>
        <w:t xml:space="preserve">Have business or family relationships with a member of COLEAD's staff involved in the procurement process or the resulting oversight, unless the resulting conflict has been brought to the attention of the donor and resolved to its </w:t>
      </w:r>
      <w:proofErr w:type="gramStart"/>
      <w:r w:rsidRPr="00D213E6">
        <w:rPr>
          <w:rFonts w:cs="Calibri"/>
          <w:sz w:val="20"/>
          <w:lang w:val="en-US"/>
        </w:rPr>
        <w:t>satisfaction;</w:t>
      </w:r>
      <w:proofErr w:type="gramEnd"/>
    </w:p>
    <w:p w14:paraId="587C94E4" w14:textId="77777777" w:rsidR="0023082F" w:rsidRPr="00D213E6" w:rsidRDefault="0023082F" w:rsidP="0023082F">
      <w:pPr>
        <w:numPr>
          <w:ilvl w:val="0"/>
          <w:numId w:val="16"/>
        </w:numPr>
        <w:tabs>
          <w:tab w:val="left" w:pos="709"/>
        </w:tabs>
        <w:suppressAutoHyphens/>
        <w:ind w:right="198"/>
        <w:jc w:val="both"/>
        <w:rPr>
          <w:rFonts w:cs="Calibri"/>
          <w:sz w:val="20"/>
          <w:lang w:val="en-US"/>
        </w:rPr>
      </w:pPr>
      <w:r w:rsidRPr="00D213E6">
        <w:rPr>
          <w:rFonts w:cs="Calibri"/>
          <w:sz w:val="20"/>
          <w:lang w:val="en-US"/>
        </w:rPr>
        <w:t>Control or be controlled by another tenderer or consultant, be under the control of the same firm as another tenderer or consultant, receive grants from another tenderer or consultant or award grants to another tenderer or consultant directly or indirectly, have the same legal representative as another tenderer or consultant, directly or indirectly maintain contact with another tenderer or consultant allowing us to have and to give access to the information contained in our respective offers or proposals, to influence them, or to influence the decisions of COLEAD;</w:t>
      </w:r>
    </w:p>
    <w:p w14:paraId="3E68E06B" w14:textId="77777777" w:rsidR="0023082F" w:rsidRPr="00D213E6" w:rsidRDefault="0023082F" w:rsidP="0023082F">
      <w:pPr>
        <w:tabs>
          <w:tab w:val="left" w:pos="709"/>
        </w:tabs>
        <w:ind w:left="1080" w:right="198"/>
        <w:rPr>
          <w:rFonts w:cs="Calibri"/>
          <w:sz w:val="20"/>
          <w:lang w:val="en-US"/>
        </w:rPr>
      </w:pPr>
    </w:p>
    <w:p w14:paraId="587650CC" w14:textId="77777777" w:rsidR="0023082F" w:rsidRPr="00D213E6" w:rsidRDefault="0023082F" w:rsidP="0023082F">
      <w:pPr>
        <w:numPr>
          <w:ilvl w:val="0"/>
          <w:numId w:val="16"/>
        </w:numPr>
        <w:tabs>
          <w:tab w:val="left" w:pos="709"/>
        </w:tabs>
        <w:suppressAutoHyphens/>
        <w:ind w:right="198"/>
        <w:jc w:val="both"/>
        <w:rPr>
          <w:rFonts w:cs="Calibri"/>
          <w:sz w:val="20"/>
          <w:lang w:val="en-US"/>
        </w:rPr>
      </w:pPr>
      <w:r w:rsidRPr="00D213E6">
        <w:rPr>
          <w:rFonts w:cs="Calibri"/>
          <w:sz w:val="20"/>
          <w:lang w:val="en-US"/>
        </w:rPr>
        <w:t xml:space="preserve">Be appointed </w:t>
      </w:r>
      <w:proofErr w:type="gramStart"/>
      <w:r w:rsidRPr="00D213E6">
        <w:rPr>
          <w:rFonts w:cs="Calibri"/>
          <w:sz w:val="20"/>
          <w:lang w:val="en-US"/>
        </w:rPr>
        <w:t>for</w:t>
      </w:r>
      <w:proofErr w:type="gramEnd"/>
      <w:r w:rsidRPr="00D213E6">
        <w:rPr>
          <w:rFonts w:cs="Calibri"/>
          <w:sz w:val="20"/>
          <w:lang w:val="en-US"/>
        </w:rPr>
        <w:t xml:space="preserve"> a mission of intellectual services which, by its nature, may be incompatible with the missions on behalf of </w:t>
      </w:r>
      <w:proofErr w:type="gramStart"/>
      <w:r w:rsidRPr="00D213E6">
        <w:rPr>
          <w:rFonts w:cs="Calibri"/>
          <w:sz w:val="20"/>
          <w:lang w:val="en-US"/>
        </w:rPr>
        <w:t>COLEAD;</w:t>
      </w:r>
      <w:proofErr w:type="gramEnd"/>
    </w:p>
    <w:p w14:paraId="4E06797A" w14:textId="77777777" w:rsidR="0023082F" w:rsidRPr="00D213E6" w:rsidRDefault="0023082F" w:rsidP="0023082F">
      <w:pPr>
        <w:numPr>
          <w:ilvl w:val="0"/>
          <w:numId w:val="16"/>
        </w:numPr>
        <w:tabs>
          <w:tab w:val="left" w:pos="709"/>
        </w:tabs>
        <w:suppressAutoHyphens/>
        <w:ind w:right="198"/>
        <w:jc w:val="both"/>
        <w:rPr>
          <w:rFonts w:cs="Calibri"/>
          <w:sz w:val="20"/>
          <w:lang w:val="en-US"/>
        </w:rPr>
      </w:pPr>
      <w:r w:rsidRPr="00D213E6">
        <w:rPr>
          <w:rFonts w:cs="Calibri"/>
          <w:sz w:val="20"/>
          <w:lang w:val="en-US"/>
        </w:rPr>
        <w:t>In the case of a procedure for awarding a contract for works, supplies or equipment:</w:t>
      </w:r>
    </w:p>
    <w:p w14:paraId="696F0F37" w14:textId="77777777" w:rsidR="0023082F" w:rsidRPr="00D213E6" w:rsidRDefault="0023082F" w:rsidP="0023082F">
      <w:pPr>
        <w:numPr>
          <w:ilvl w:val="1"/>
          <w:numId w:val="16"/>
        </w:numPr>
        <w:tabs>
          <w:tab w:val="left" w:pos="709"/>
        </w:tabs>
        <w:suppressAutoHyphens/>
        <w:ind w:right="198"/>
        <w:jc w:val="both"/>
        <w:rPr>
          <w:rFonts w:cs="Calibri"/>
          <w:sz w:val="20"/>
          <w:lang w:val="en-US"/>
        </w:rPr>
      </w:pPr>
      <w:r w:rsidRPr="00D213E6">
        <w:rPr>
          <w:rFonts w:cs="Calibri"/>
          <w:sz w:val="20"/>
          <w:lang w:val="en-US"/>
        </w:rPr>
        <w:t>Have prepared or been associated with a consultant who prepared the specifications, plans, calculations and other documents used in the procurement process</w:t>
      </w:r>
    </w:p>
    <w:p w14:paraId="64A79F46" w14:textId="189E6FD2" w:rsidR="00D213E6" w:rsidRDefault="0023082F" w:rsidP="0023082F">
      <w:pPr>
        <w:numPr>
          <w:ilvl w:val="1"/>
          <w:numId w:val="16"/>
        </w:numPr>
        <w:tabs>
          <w:tab w:val="left" w:pos="709"/>
        </w:tabs>
        <w:suppressAutoHyphens/>
        <w:spacing w:after="120"/>
        <w:ind w:left="1434" w:right="198" w:hanging="357"/>
        <w:jc w:val="both"/>
        <w:rPr>
          <w:rFonts w:cs="Calibri"/>
          <w:sz w:val="20"/>
          <w:lang w:val="en-US"/>
        </w:rPr>
      </w:pPr>
      <w:r w:rsidRPr="00D213E6">
        <w:rPr>
          <w:rFonts w:cs="Calibri"/>
          <w:sz w:val="20"/>
          <w:lang w:val="en-US"/>
        </w:rPr>
        <w:t>That the person or one of the firms to which the person is affiliated, is recruited, or to be recruited, by COLEAD to perform the supervision or control of the work under the Contract.</w:t>
      </w:r>
    </w:p>
    <w:p w14:paraId="11348F7A" w14:textId="77777777" w:rsidR="00D213E6" w:rsidRDefault="00D213E6">
      <w:pPr>
        <w:spacing w:after="160" w:line="259" w:lineRule="auto"/>
        <w:rPr>
          <w:rFonts w:cs="Calibri"/>
          <w:sz w:val="20"/>
          <w:lang w:val="en-US"/>
        </w:rPr>
      </w:pPr>
      <w:r>
        <w:rPr>
          <w:rFonts w:cs="Calibri"/>
          <w:sz w:val="20"/>
          <w:lang w:val="en-US"/>
        </w:rPr>
        <w:br w:type="page"/>
      </w:r>
    </w:p>
    <w:p w14:paraId="0D9628A9" w14:textId="77777777" w:rsidR="0023082F" w:rsidRPr="00610E73" w:rsidRDefault="0023082F" w:rsidP="0023082F">
      <w:pPr>
        <w:keepLines/>
        <w:tabs>
          <w:tab w:val="left" w:pos="420"/>
        </w:tabs>
        <w:spacing w:after="120"/>
        <w:ind w:left="420" w:right="285" w:hanging="420"/>
        <w:rPr>
          <w:rFonts w:cs="Calibri"/>
          <w:b/>
          <w:color w:val="766A4C"/>
          <w:szCs w:val="22"/>
          <w:lang w:val="en-GB"/>
        </w:rPr>
      </w:pPr>
      <w:r w:rsidRPr="00610E73">
        <w:rPr>
          <w:rFonts w:cs="Calibri"/>
          <w:b/>
          <w:color w:val="766A4C"/>
          <w:szCs w:val="22"/>
          <w:lang w:val="en-GB"/>
        </w:rPr>
        <w:lastRenderedPageBreak/>
        <w:t>5.   Grounds for rejection from this procedure</w:t>
      </w:r>
    </w:p>
    <w:p w14:paraId="54A281E8" w14:textId="77777777" w:rsidR="0023082F" w:rsidRPr="00610E73" w:rsidRDefault="0023082F" w:rsidP="0023082F">
      <w:pPr>
        <w:numPr>
          <w:ilvl w:val="0"/>
          <w:numId w:val="10"/>
        </w:numPr>
        <w:tabs>
          <w:tab w:val="left" w:pos="426"/>
        </w:tabs>
        <w:suppressAutoHyphens/>
        <w:spacing w:before="120" w:after="240"/>
        <w:ind w:left="426" w:hanging="426"/>
        <w:jc w:val="both"/>
        <w:rPr>
          <w:rFonts w:cs="Calibri"/>
          <w:szCs w:val="22"/>
          <w:lang w:val="en-GB"/>
        </w:rPr>
      </w:pPr>
      <w:r w:rsidRPr="00610E73">
        <w:rPr>
          <w:rFonts w:cs="Calibri"/>
          <w:szCs w:val="22"/>
          <w:lang w:val="en-GB"/>
        </w:rPr>
        <w:t>declares that the above-mentioned person has distorted competition by being previously involved in the preparation of procurement documents for this procurement procedure.</w:t>
      </w:r>
    </w:p>
    <w:p w14:paraId="795E890E" w14:textId="733EABCB" w:rsidR="00844284" w:rsidRPr="00610E73" w:rsidRDefault="0023082F" w:rsidP="008A25EF">
      <w:pPr>
        <w:spacing w:before="100" w:beforeAutospacing="1" w:after="100" w:afterAutospacing="1"/>
        <w:jc w:val="both"/>
        <w:rPr>
          <w:rFonts w:cs="Calibri"/>
          <w:szCs w:val="22"/>
          <w:lang w:val="en-GB"/>
        </w:rPr>
      </w:pPr>
      <w:r w:rsidRPr="00610E73">
        <w:rPr>
          <w:rFonts w:cs="Calibri"/>
          <w:szCs w:val="22"/>
          <w:lang w:val="en-GB"/>
        </w:rPr>
        <w:t xml:space="preserve">The signatory declares </w:t>
      </w:r>
      <w:r w:rsidRPr="00610E73">
        <w:rPr>
          <w:rFonts w:cs="Calibri"/>
          <w:noProof/>
          <w:szCs w:val="22"/>
          <w:lang w:val="en-GB"/>
        </w:rPr>
        <w:t>that the above-mentioned person is able to provide the necessary supporting documents</w:t>
      </w:r>
      <w:r w:rsidRPr="00610E73">
        <w:rPr>
          <w:rFonts w:cs="Calibri"/>
          <w:szCs w:val="22"/>
          <w:lang w:val="en-GB"/>
        </w:rPr>
        <w:t>. The person is not required to submit the evidence if it has already been submitted for another procurement procedure. The documents must have been issued no more than one year before the date of their request by the contracting authority and must still be valid at that date.</w:t>
      </w:r>
    </w:p>
    <w:p w14:paraId="3ABCCDE1" w14:textId="77777777" w:rsidR="0023082F" w:rsidRPr="00610E73" w:rsidRDefault="0023082F" w:rsidP="008A25EF">
      <w:pPr>
        <w:spacing w:before="40" w:after="40"/>
        <w:jc w:val="both"/>
        <w:rPr>
          <w:rFonts w:cs="Calibri"/>
          <w:szCs w:val="22"/>
          <w:lang w:val="en-GB"/>
        </w:rPr>
      </w:pPr>
      <w:r w:rsidRPr="00610E73">
        <w:rPr>
          <w:rFonts w:cs="Calibri"/>
          <w:szCs w:val="22"/>
          <w:lang w:val="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8330AE0" w14:textId="77777777" w:rsidR="0023082F" w:rsidRPr="00610E73" w:rsidRDefault="0023082F" w:rsidP="0023082F">
      <w:pPr>
        <w:tabs>
          <w:tab w:val="left" w:pos="1701"/>
        </w:tabs>
        <w:spacing w:before="120" w:after="120"/>
        <w:rPr>
          <w:rFonts w:cs="Calibri"/>
          <w:b/>
          <w:i/>
          <w:szCs w:val="22"/>
          <w:lang w:val="en-GB"/>
        </w:rPr>
      </w:pPr>
      <w:r w:rsidRPr="00610E73">
        <w:rPr>
          <w:rFonts w:cs="Calibri"/>
          <w:b/>
          <w:i/>
          <w:szCs w:val="22"/>
          <w:lang w:val="en-GB"/>
        </w:rPr>
        <w:t>I, the undersigned, make the sworn statement that the tenderer I represent does not fall into any of the categories listed above.</w:t>
      </w:r>
    </w:p>
    <w:tbl>
      <w:tblPr>
        <w:tblW w:w="9225" w:type="dxa"/>
        <w:tblLayout w:type="fixed"/>
        <w:tblLook w:val="04A0" w:firstRow="1" w:lastRow="0" w:firstColumn="1" w:lastColumn="0" w:noHBand="0" w:noVBand="1"/>
      </w:tblPr>
      <w:tblGrid>
        <w:gridCol w:w="3510"/>
        <w:gridCol w:w="5715"/>
      </w:tblGrid>
      <w:tr w:rsidR="0023082F" w:rsidRPr="00F719B9" w14:paraId="44A3110B" w14:textId="77777777" w:rsidTr="00232F8D">
        <w:tc>
          <w:tcPr>
            <w:tcW w:w="3510" w:type="dxa"/>
            <w:tcBorders>
              <w:top w:val="single" w:sz="4" w:space="0" w:color="000000"/>
              <w:left w:val="single" w:sz="4" w:space="0" w:color="000000"/>
              <w:bottom w:val="single" w:sz="4" w:space="0" w:color="000000"/>
              <w:right w:val="nil"/>
            </w:tcBorders>
            <w:hideMark/>
          </w:tcPr>
          <w:p w14:paraId="593520EB" w14:textId="77777777" w:rsidR="0023082F" w:rsidRPr="00610E73" w:rsidRDefault="0023082F" w:rsidP="00232F8D">
            <w:pPr>
              <w:tabs>
                <w:tab w:val="left" w:pos="1701"/>
              </w:tabs>
              <w:snapToGrid w:val="0"/>
              <w:spacing w:after="120"/>
              <w:rPr>
                <w:rFonts w:cs="Calibri"/>
                <w:b/>
                <w:bCs/>
                <w:szCs w:val="22"/>
                <w:lang w:val="en-GB"/>
              </w:rPr>
            </w:pPr>
            <w:r w:rsidRPr="00610E73">
              <w:rPr>
                <w:rFonts w:cs="Calibri"/>
                <w:b/>
                <w:bCs/>
                <w:szCs w:val="22"/>
                <w:lang w:val="en-GB"/>
              </w:rPr>
              <w:t>Name of the tendering structure</w:t>
            </w:r>
            <w:r w:rsidRPr="00610E73">
              <w:rPr>
                <w:rStyle w:val="FootnoteReference"/>
                <w:rFonts w:cs="Calibri"/>
                <w:b/>
                <w:bCs/>
                <w:szCs w:val="22"/>
                <w:lang w:val="en-GB"/>
              </w:rPr>
              <w:footnoteReference w:id="1"/>
            </w:r>
          </w:p>
        </w:tc>
        <w:tc>
          <w:tcPr>
            <w:tcW w:w="5716" w:type="dxa"/>
            <w:tcBorders>
              <w:top w:val="single" w:sz="4" w:space="0" w:color="000000"/>
              <w:left w:val="single" w:sz="4" w:space="0" w:color="000000"/>
              <w:bottom w:val="single" w:sz="4" w:space="0" w:color="000000"/>
              <w:right w:val="single" w:sz="4" w:space="0" w:color="000000"/>
            </w:tcBorders>
          </w:tcPr>
          <w:p w14:paraId="663CC6CA" w14:textId="77777777" w:rsidR="0023082F" w:rsidRPr="00610E73" w:rsidRDefault="0023082F" w:rsidP="00232F8D">
            <w:pPr>
              <w:tabs>
                <w:tab w:val="left" w:pos="1701"/>
              </w:tabs>
              <w:snapToGrid w:val="0"/>
              <w:spacing w:before="120" w:after="120"/>
              <w:rPr>
                <w:rFonts w:cs="Calibri"/>
                <w:szCs w:val="22"/>
                <w:lang w:val="en-GB"/>
              </w:rPr>
            </w:pPr>
          </w:p>
        </w:tc>
      </w:tr>
      <w:tr w:rsidR="0023082F" w:rsidRPr="00610E73" w14:paraId="49E0000E" w14:textId="77777777" w:rsidTr="00232F8D">
        <w:trPr>
          <w:trHeight w:val="632"/>
        </w:trPr>
        <w:tc>
          <w:tcPr>
            <w:tcW w:w="3510" w:type="dxa"/>
            <w:tcBorders>
              <w:top w:val="single" w:sz="4" w:space="0" w:color="000000"/>
              <w:left w:val="single" w:sz="4" w:space="0" w:color="000000"/>
              <w:bottom w:val="single" w:sz="4" w:space="0" w:color="000000"/>
              <w:right w:val="nil"/>
            </w:tcBorders>
            <w:hideMark/>
          </w:tcPr>
          <w:p w14:paraId="3ED1AEC9" w14:textId="1E2A4ADF" w:rsidR="0023082F" w:rsidRPr="00610E73" w:rsidRDefault="0023082F" w:rsidP="00232F8D">
            <w:pPr>
              <w:tabs>
                <w:tab w:val="left" w:pos="1701"/>
              </w:tabs>
              <w:snapToGrid w:val="0"/>
              <w:spacing w:after="120"/>
              <w:rPr>
                <w:rFonts w:cs="Calibri"/>
                <w:b/>
                <w:szCs w:val="22"/>
                <w:lang w:val="en-GB"/>
              </w:rPr>
            </w:pPr>
            <w:r w:rsidRPr="00610E73">
              <w:rPr>
                <w:rFonts w:cs="Calibri"/>
                <w:b/>
                <w:szCs w:val="22"/>
                <w:lang w:val="en-GB"/>
              </w:rPr>
              <w:t>Name of authorised signatory</w:t>
            </w:r>
            <w:r w:rsidR="002A2ED0">
              <w:rPr>
                <w:rStyle w:val="FootnoteReference"/>
                <w:rFonts w:cs="Calibri"/>
                <w:b/>
                <w:szCs w:val="22"/>
                <w:lang w:val="en-GB"/>
              </w:rPr>
              <w:footnoteReference w:id="2"/>
            </w:r>
          </w:p>
        </w:tc>
        <w:tc>
          <w:tcPr>
            <w:tcW w:w="5716" w:type="dxa"/>
            <w:tcBorders>
              <w:top w:val="single" w:sz="4" w:space="0" w:color="000000"/>
              <w:left w:val="single" w:sz="4" w:space="0" w:color="000000"/>
              <w:bottom w:val="single" w:sz="4" w:space="0" w:color="000000"/>
              <w:right w:val="single" w:sz="4" w:space="0" w:color="000000"/>
            </w:tcBorders>
          </w:tcPr>
          <w:p w14:paraId="0D2B1C0E" w14:textId="77777777" w:rsidR="0023082F" w:rsidRPr="00610E73" w:rsidRDefault="0023082F" w:rsidP="00232F8D">
            <w:pPr>
              <w:tabs>
                <w:tab w:val="left" w:pos="1701"/>
              </w:tabs>
              <w:snapToGrid w:val="0"/>
              <w:spacing w:before="120" w:after="120"/>
              <w:rPr>
                <w:rFonts w:cs="Calibri"/>
                <w:szCs w:val="22"/>
                <w:lang w:val="en-GB"/>
              </w:rPr>
            </w:pPr>
          </w:p>
        </w:tc>
      </w:tr>
      <w:tr w:rsidR="0023082F" w:rsidRPr="00610E73" w14:paraId="7E044D28" w14:textId="77777777" w:rsidTr="00232F8D">
        <w:trPr>
          <w:trHeight w:val="1191"/>
        </w:trPr>
        <w:tc>
          <w:tcPr>
            <w:tcW w:w="3510" w:type="dxa"/>
            <w:tcBorders>
              <w:top w:val="single" w:sz="4" w:space="0" w:color="000000"/>
              <w:left w:val="single" w:sz="4" w:space="0" w:color="000000"/>
              <w:bottom w:val="single" w:sz="4" w:space="0" w:color="000000"/>
              <w:right w:val="nil"/>
            </w:tcBorders>
            <w:hideMark/>
          </w:tcPr>
          <w:p w14:paraId="316EF10E" w14:textId="77777777" w:rsidR="0023082F" w:rsidRPr="00610E73" w:rsidRDefault="0023082F" w:rsidP="00232F8D">
            <w:pPr>
              <w:tabs>
                <w:tab w:val="left" w:pos="1701"/>
              </w:tabs>
              <w:snapToGrid w:val="0"/>
              <w:spacing w:after="120"/>
              <w:rPr>
                <w:rFonts w:cs="Calibri"/>
                <w:bCs/>
                <w:szCs w:val="22"/>
                <w:lang w:val="en-GB"/>
              </w:rPr>
            </w:pPr>
            <w:r w:rsidRPr="00610E73">
              <w:rPr>
                <w:rFonts w:cs="Calibri"/>
                <w:bCs/>
                <w:szCs w:val="22"/>
                <w:lang w:val="en-GB"/>
              </w:rPr>
              <w:t>Signature</w:t>
            </w:r>
          </w:p>
        </w:tc>
        <w:tc>
          <w:tcPr>
            <w:tcW w:w="5716" w:type="dxa"/>
            <w:tcBorders>
              <w:top w:val="single" w:sz="4" w:space="0" w:color="000000"/>
              <w:left w:val="single" w:sz="4" w:space="0" w:color="000000"/>
              <w:bottom w:val="single" w:sz="4" w:space="0" w:color="000000"/>
              <w:right w:val="single" w:sz="4" w:space="0" w:color="000000"/>
            </w:tcBorders>
          </w:tcPr>
          <w:p w14:paraId="08226302" w14:textId="77777777" w:rsidR="0023082F" w:rsidRPr="00610E73" w:rsidRDefault="0023082F" w:rsidP="00232F8D">
            <w:pPr>
              <w:tabs>
                <w:tab w:val="left" w:pos="1701"/>
              </w:tabs>
              <w:snapToGrid w:val="0"/>
              <w:spacing w:before="120" w:after="120"/>
              <w:rPr>
                <w:rFonts w:cs="Calibri"/>
                <w:szCs w:val="22"/>
                <w:lang w:val="en-GB"/>
              </w:rPr>
            </w:pPr>
          </w:p>
          <w:p w14:paraId="2A3CEAB1" w14:textId="77777777" w:rsidR="0023082F" w:rsidRPr="00610E73" w:rsidRDefault="0023082F" w:rsidP="00232F8D">
            <w:pPr>
              <w:tabs>
                <w:tab w:val="left" w:pos="1701"/>
              </w:tabs>
              <w:spacing w:before="120" w:after="120"/>
              <w:rPr>
                <w:rFonts w:cs="Calibri"/>
                <w:szCs w:val="22"/>
                <w:lang w:val="en-GB"/>
              </w:rPr>
            </w:pPr>
          </w:p>
        </w:tc>
      </w:tr>
      <w:tr w:rsidR="0023082F" w:rsidRPr="00610E73" w14:paraId="31294D45" w14:textId="77777777" w:rsidTr="00232F8D">
        <w:trPr>
          <w:trHeight w:val="312"/>
        </w:trPr>
        <w:tc>
          <w:tcPr>
            <w:tcW w:w="3510" w:type="dxa"/>
            <w:tcBorders>
              <w:top w:val="single" w:sz="4" w:space="0" w:color="000000"/>
              <w:left w:val="single" w:sz="4" w:space="0" w:color="000000"/>
              <w:bottom w:val="single" w:sz="4" w:space="0" w:color="000000"/>
              <w:right w:val="nil"/>
            </w:tcBorders>
            <w:hideMark/>
          </w:tcPr>
          <w:p w14:paraId="0610F4F7" w14:textId="77777777" w:rsidR="0023082F" w:rsidRPr="00610E73" w:rsidRDefault="0023082F" w:rsidP="00232F8D">
            <w:pPr>
              <w:tabs>
                <w:tab w:val="left" w:pos="1701"/>
              </w:tabs>
              <w:snapToGrid w:val="0"/>
              <w:spacing w:after="120"/>
              <w:rPr>
                <w:rFonts w:cs="Calibri"/>
                <w:bCs/>
                <w:szCs w:val="22"/>
                <w:lang w:val="en-GB"/>
              </w:rPr>
            </w:pPr>
            <w:r w:rsidRPr="00610E73">
              <w:rPr>
                <w:rFonts w:cs="Calibri"/>
                <w:bCs/>
                <w:szCs w:val="22"/>
                <w:lang w:val="en-GB"/>
              </w:rPr>
              <w:t>Date</w:t>
            </w:r>
          </w:p>
        </w:tc>
        <w:tc>
          <w:tcPr>
            <w:tcW w:w="5716" w:type="dxa"/>
            <w:tcBorders>
              <w:top w:val="single" w:sz="4" w:space="0" w:color="000000"/>
              <w:left w:val="single" w:sz="4" w:space="0" w:color="000000"/>
              <w:bottom w:val="single" w:sz="4" w:space="0" w:color="000000"/>
              <w:right w:val="single" w:sz="4" w:space="0" w:color="000000"/>
            </w:tcBorders>
          </w:tcPr>
          <w:p w14:paraId="53925DE7" w14:textId="77777777" w:rsidR="0023082F" w:rsidRPr="00610E73" w:rsidRDefault="0023082F" w:rsidP="00232F8D">
            <w:pPr>
              <w:tabs>
                <w:tab w:val="left" w:pos="1701"/>
              </w:tabs>
              <w:snapToGrid w:val="0"/>
              <w:spacing w:before="120" w:after="120"/>
              <w:rPr>
                <w:rFonts w:cs="Calibri"/>
                <w:szCs w:val="22"/>
                <w:lang w:val="en-GB"/>
              </w:rPr>
            </w:pPr>
          </w:p>
        </w:tc>
      </w:tr>
    </w:tbl>
    <w:p w14:paraId="0EB50F4D" w14:textId="77777777" w:rsidR="00B8431E" w:rsidRPr="003A7760" w:rsidRDefault="00B8431E" w:rsidP="0023082F">
      <w:pPr>
        <w:rPr>
          <w:rFonts w:cs="Calibri"/>
          <w:sz w:val="24"/>
          <w:szCs w:val="24"/>
        </w:rPr>
      </w:pPr>
    </w:p>
    <w:sectPr w:rsidR="00B8431E" w:rsidRPr="003A7760" w:rsidSect="00844284">
      <w:headerReference w:type="default" r:id="rId11"/>
      <w:footerReference w:type="default" r:id="rId12"/>
      <w:headerReference w:type="first" r:id="rId13"/>
      <w:footerReference w:type="first" r:id="rId14"/>
      <w:pgSz w:w="11906" w:h="16838"/>
      <w:pgMar w:top="2041" w:right="1440" w:bottom="144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65F48" w14:textId="77777777" w:rsidR="00D830D4" w:rsidRDefault="00D830D4" w:rsidP="00D830D4">
      <w:r>
        <w:separator/>
      </w:r>
    </w:p>
  </w:endnote>
  <w:endnote w:type="continuationSeparator" w:id="0">
    <w:p w14:paraId="7525B00E" w14:textId="77777777" w:rsidR="00D830D4" w:rsidRDefault="00D830D4" w:rsidP="00D83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yriad Pro">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FDFCA" w14:textId="580CE464" w:rsidR="0023082F" w:rsidRPr="003A7760" w:rsidRDefault="0023082F" w:rsidP="0023082F">
    <w:pPr>
      <w:pStyle w:val="Footer"/>
      <w:rPr>
        <w:i/>
        <w:sz w:val="18"/>
        <w:szCs w:val="18"/>
        <w:lang w:val="en-GB"/>
      </w:rPr>
    </w:pPr>
    <w:r w:rsidRPr="003A7760">
      <w:rPr>
        <w:i/>
        <w:sz w:val="18"/>
        <w:szCs w:val="18"/>
        <w:lang w:val="it-IT"/>
      </w:rPr>
      <w:t>Tender 2</w:t>
    </w:r>
    <w:r w:rsidR="003A7760" w:rsidRPr="003A7760">
      <w:rPr>
        <w:i/>
        <w:sz w:val="18"/>
        <w:szCs w:val="18"/>
        <w:lang w:val="it-IT"/>
      </w:rPr>
      <w:t>5</w:t>
    </w:r>
    <w:r w:rsidR="008A25EF" w:rsidRPr="003A7760">
      <w:rPr>
        <w:i/>
        <w:sz w:val="18"/>
        <w:szCs w:val="18"/>
        <w:lang w:val="it-IT"/>
      </w:rPr>
      <w:t>13</w:t>
    </w:r>
    <w:r w:rsidR="0067159B">
      <w:rPr>
        <w:i/>
        <w:sz w:val="18"/>
        <w:szCs w:val="18"/>
        <w:lang w:val="it-IT"/>
      </w:rPr>
      <w:t>8</w:t>
    </w:r>
    <w:r w:rsidR="003A7760" w:rsidRPr="003A7760">
      <w:rPr>
        <w:i/>
        <w:sz w:val="18"/>
        <w:szCs w:val="18"/>
        <w:lang w:val="it-IT"/>
      </w:rPr>
      <w:t>6</w:t>
    </w:r>
    <w:r w:rsidRPr="003A7760">
      <w:rPr>
        <w:i/>
        <w:sz w:val="18"/>
        <w:szCs w:val="18"/>
        <w:lang w:val="it-IT"/>
      </w:rPr>
      <w:t xml:space="preserve"> </w:t>
    </w:r>
    <w:r w:rsidRPr="003A7760">
      <w:rPr>
        <w:i/>
        <w:sz w:val="18"/>
        <w:szCs w:val="18"/>
        <w:lang w:val="pt-BR"/>
      </w:rPr>
      <w:t xml:space="preserve">D.2. Eligibility Statement                          </w:t>
    </w:r>
    <w:r w:rsidR="003A7760">
      <w:rPr>
        <w:i/>
        <w:sz w:val="18"/>
        <w:szCs w:val="18"/>
        <w:lang w:val="pt-BR"/>
      </w:rPr>
      <w:t xml:space="preserve">         </w:t>
    </w:r>
    <w:r w:rsidRPr="003A7760">
      <w:rPr>
        <w:i/>
        <w:sz w:val="18"/>
        <w:szCs w:val="18"/>
        <w:lang w:val="pt-BR"/>
      </w:rPr>
      <w:t xml:space="preserve">     </w:t>
    </w:r>
    <w:r w:rsidR="00ED141B">
      <w:rPr>
        <w:i/>
        <w:sz w:val="18"/>
        <w:szCs w:val="18"/>
        <w:lang w:val="pt-BR"/>
      </w:rPr>
      <w:t xml:space="preserve"> </w:t>
    </w:r>
    <w:r w:rsidRPr="003A7760">
      <w:rPr>
        <w:i/>
        <w:sz w:val="18"/>
        <w:szCs w:val="18"/>
        <w:lang w:val="pt-BR"/>
      </w:rPr>
      <w:t xml:space="preserve">            </w:t>
    </w:r>
    <w:r w:rsidRPr="003A7760">
      <w:rPr>
        <w:i/>
        <w:sz w:val="18"/>
        <w:szCs w:val="18"/>
        <w:lang w:val="fr-FR"/>
      </w:rPr>
      <w:fldChar w:fldCharType="begin"/>
    </w:r>
    <w:r w:rsidRPr="003A7760">
      <w:rPr>
        <w:i/>
        <w:sz w:val="18"/>
        <w:szCs w:val="18"/>
        <w:lang w:val="en-GB"/>
      </w:rPr>
      <w:instrText xml:space="preserve"> PAGE </w:instrText>
    </w:r>
    <w:r w:rsidRPr="003A7760">
      <w:rPr>
        <w:i/>
        <w:sz w:val="18"/>
        <w:szCs w:val="18"/>
        <w:lang w:val="fr-FR"/>
      </w:rPr>
      <w:fldChar w:fldCharType="separate"/>
    </w:r>
    <w:r w:rsidRPr="003A7760">
      <w:rPr>
        <w:i/>
        <w:sz w:val="18"/>
        <w:szCs w:val="18"/>
        <w:lang w:val="en-GB"/>
      </w:rPr>
      <w:t>2</w:t>
    </w:r>
    <w:r w:rsidRPr="003A7760">
      <w:rPr>
        <w:i/>
        <w:sz w:val="18"/>
        <w:szCs w:val="18"/>
        <w:lang w:val="en-US"/>
      </w:rPr>
      <w:fldChar w:fldCharType="end"/>
    </w:r>
    <w:r w:rsidRPr="003A7760">
      <w:rPr>
        <w:i/>
        <w:sz w:val="18"/>
        <w:szCs w:val="18"/>
        <w:lang w:val="en-GB"/>
      </w:rPr>
      <w:t>/</w:t>
    </w:r>
    <w:r w:rsidRPr="003A7760">
      <w:rPr>
        <w:i/>
        <w:sz w:val="18"/>
        <w:szCs w:val="18"/>
        <w:lang w:val="fr-FR"/>
      </w:rPr>
      <w:fldChar w:fldCharType="begin"/>
    </w:r>
    <w:r w:rsidRPr="003A7760">
      <w:rPr>
        <w:i/>
        <w:sz w:val="18"/>
        <w:szCs w:val="18"/>
        <w:lang w:val="en-GB"/>
      </w:rPr>
      <w:instrText xml:space="preserve"> NUMPAGES \*Arabic </w:instrText>
    </w:r>
    <w:r w:rsidRPr="003A7760">
      <w:rPr>
        <w:i/>
        <w:sz w:val="18"/>
        <w:szCs w:val="18"/>
        <w:lang w:val="fr-FR"/>
      </w:rPr>
      <w:fldChar w:fldCharType="separate"/>
    </w:r>
    <w:r w:rsidRPr="003A7760">
      <w:rPr>
        <w:i/>
        <w:sz w:val="18"/>
        <w:szCs w:val="18"/>
        <w:lang w:val="en-GB"/>
      </w:rPr>
      <w:t>5</w:t>
    </w:r>
    <w:r w:rsidRPr="003A7760">
      <w:rPr>
        <w:i/>
        <w:sz w:val="18"/>
        <w:szCs w:val="18"/>
        <w:lang w:val="en-US"/>
      </w:rPr>
      <w:fldChar w:fldCharType="end"/>
    </w:r>
    <w:r w:rsidRPr="003A7760">
      <w:rPr>
        <w:i/>
        <w:sz w:val="18"/>
        <w:szCs w:val="18"/>
        <w:lang w:val="en-GB"/>
      </w:rPr>
      <w:t xml:space="preserve">           </w:t>
    </w:r>
    <w:r w:rsidR="003A7760">
      <w:rPr>
        <w:i/>
        <w:sz w:val="18"/>
        <w:szCs w:val="18"/>
        <w:lang w:val="en-GB"/>
      </w:rPr>
      <w:t xml:space="preserve"> </w:t>
    </w:r>
    <w:r w:rsidRPr="003A7760">
      <w:rPr>
        <w:i/>
        <w:sz w:val="18"/>
        <w:szCs w:val="18"/>
        <w:lang w:val="en-GB"/>
      </w:rPr>
      <w:t xml:space="preserve">                          </w:t>
    </w:r>
    <w:r w:rsidR="00ED141B">
      <w:rPr>
        <w:i/>
        <w:sz w:val="18"/>
        <w:szCs w:val="18"/>
        <w:lang w:val="en-GB"/>
      </w:rPr>
      <w:t xml:space="preserve">                  </w:t>
    </w:r>
    <w:r w:rsidRPr="003A7760">
      <w:rPr>
        <w:i/>
        <w:sz w:val="18"/>
        <w:szCs w:val="18"/>
        <w:lang w:val="en-GB"/>
      </w:rPr>
      <w:t xml:space="preserve">                         </w:t>
    </w:r>
    <w:r w:rsidR="0067159B">
      <w:rPr>
        <w:i/>
        <w:sz w:val="18"/>
        <w:szCs w:val="18"/>
        <w:lang w:val="en-GB"/>
      </w:rPr>
      <w:t>Ju</w:t>
    </w:r>
    <w:r w:rsidR="00F719B9">
      <w:rPr>
        <w:i/>
        <w:sz w:val="18"/>
        <w:szCs w:val="18"/>
        <w:lang w:val="en-GB"/>
      </w:rPr>
      <w:t>ly</w:t>
    </w:r>
    <w:r w:rsidRPr="003A7760">
      <w:rPr>
        <w:i/>
        <w:sz w:val="18"/>
        <w:szCs w:val="18"/>
        <w:lang w:val="en-GB"/>
      </w:rPr>
      <w:t xml:space="preserve"> 202</w:t>
    </w:r>
    <w:r w:rsidR="003A7760" w:rsidRPr="003A7760">
      <w:rPr>
        <w:i/>
        <w:sz w:val="18"/>
        <w:szCs w:val="18"/>
        <w:lang w:val="en-GB"/>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A9865" w14:textId="6D199A5D" w:rsidR="00F855CA" w:rsidRDefault="00F855CA">
    <w:pPr>
      <w:pStyle w:val="Footer"/>
    </w:pPr>
    <w:r>
      <w:rPr>
        <w:noProof/>
      </w:rPr>
      <w:drawing>
        <wp:anchor distT="0" distB="0" distL="114300" distR="114300" simplePos="0" relativeHeight="251662336" behindDoc="0" locked="0" layoutInCell="1" allowOverlap="1" wp14:anchorId="0A43C25F" wp14:editId="4569193C">
          <wp:simplePos x="0" y="0"/>
          <wp:positionH relativeFrom="margin">
            <wp:align>left</wp:align>
          </wp:positionH>
          <wp:positionV relativeFrom="paragraph">
            <wp:posOffset>36195</wp:posOffset>
          </wp:positionV>
          <wp:extent cx="5791200" cy="556260"/>
          <wp:effectExtent l="0" t="0" r="0" b="0"/>
          <wp:wrapThrough wrapText="bothSides">
            <wp:wrapPolygon edited="0">
              <wp:start x="0" y="1479"/>
              <wp:lineTo x="0" y="4438"/>
              <wp:lineTo x="2984" y="14795"/>
              <wp:lineTo x="2984" y="16274"/>
              <wp:lineTo x="6679" y="20712"/>
              <wp:lineTo x="8171" y="20712"/>
              <wp:lineTo x="11439" y="20712"/>
              <wp:lineTo x="14850" y="20712"/>
              <wp:lineTo x="15632" y="19973"/>
              <wp:lineTo x="15489" y="14795"/>
              <wp:lineTo x="21529" y="14795"/>
              <wp:lineTo x="21529" y="1479"/>
              <wp:lineTo x="0" y="1479"/>
            </wp:wrapPolygon>
          </wp:wrapThrough>
          <wp:docPr id="12383479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34794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791200" cy="5562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F401D" w14:textId="77777777" w:rsidR="00D830D4" w:rsidRDefault="00D830D4" w:rsidP="00D830D4">
      <w:r>
        <w:separator/>
      </w:r>
    </w:p>
  </w:footnote>
  <w:footnote w:type="continuationSeparator" w:id="0">
    <w:p w14:paraId="2D90BD1E" w14:textId="77777777" w:rsidR="00D830D4" w:rsidRDefault="00D830D4" w:rsidP="00D830D4">
      <w:r>
        <w:continuationSeparator/>
      </w:r>
    </w:p>
  </w:footnote>
  <w:footnote w:id="1">
    <w:p w14:paraId="6EB4B2EF" w14:textId="0F2F4484" w:rsidR="0023082F" w:rsidRDefault="0023082F" w:rsidP="002A2ED0">
      <w:pPr>
        <w:pStyle w:val="FootnoteText"/>
        <w:spacing w:after="0"/>
        <w:rPr>
          <w:lang w:val="en-GB"/>
        </w:rPr>
      </w:pPr>
      <w:r>
        <w:rPr>
          <w:rStyle w:val="FootnoteReference"/>
        </w:rPr>
        <w:footnoteRef/>
      </w:r>
      <w:r>
        <w:rPr>
          <w:lang w:val="en-GB"/>
        </w:rPr>
        <w:t xml:space="preserve"> </w:t>
      </w:r>
      <w:r w:rsidR="00D04054" w:rsidRPr="00EF5BF7">
        <w:rPr>
          <w:rFonts w:asciiTheme="minorHAnsi" w:hAnsiTheme="minorHAnsi"/>
          <w:i/>
          <w:iCs/>
          <w:sz w:val="18"/>
          <w:szCs w:val="18"/>
          <w:lang w:val="en-GB"/>
        </w:rPr>
        <w:t xml:space="preserve">The legal </w:t>
      </w:r>
      <w:r w:rsidR="00D04054">
        <w:rPr>
          <w:rFonts w:asciiTheme="minorHAnsi" w:hAnsiTheme="minorHAnsi"/>
          <w:i/>
          <w:iCs/>
          <w:sz w:val="18"/>
          <w:szCs w:val="18"/>
          <w:lang w:val="en-GB"/>
        </w:rPr>
        <w:t xml:space="preserve">or registered </w:t>
      </w:r>
      <w:r w:rsidR="00D04054" w:rsidRPr="00EF5BF7">
        <w:rPr>
          <w:rFonts w:asciiTheme="minorHAnsi" w:hAnsiTheme="minorHAnsi"/>
          <w:i/>
          <w:iCs/>
          <w:sz w:val="18"/>
          <w:szCs w:val="18"/>
          <w:lang w:val="en-GB"/>
        </w:rPr>
        <w:t>name of the entity or individual submitting the tender proposal, whether it is a company, organi</w:t>
      </w:r>
      <w:r w:rsidR="00D04054">
        <w:rPr>
          <w:rFonts w:asciiTheme="minorHAnsi" w:hAnsiTheme="minorHAnsi"/>
          <w:i/>
          <w:iCs/>
          <w:sz w:val="18"/>
          <w:szCs w:val="18"/>
          <w:lang w:val="en-GB"/>
        </w:rPr>
        <w:t>s</w:t>
      </w:r>
      <w:r w:rsidR="00D04054" w:rsidRPr="00457E8F">
        <w:rPr>
          <w:rFonts w:asciiTheme="minorHAnsi" w:hAnsiTheme="minorHAnsi"/>
          <w:i/>
          <w:iCs/>
          <w:sz w:val="18"/>
          <w:szCs w:val="18"/>
          <w:lang w:val="en-GB"/>
        </w:rPr>
        <w:t>ation, independent consultant, or freelancer.</w:t>
      </w:r>
      <w:r w:rsidR="00D04054">
        <w:rPr>
          <w:rFonts w:asciiTheme="minorHAnsi" w:hAnsiTheme="minorHAnsi"/>
          <w:i/>
          <w:iCs/>
          <w:sz w:val="18"/>
          <w:szCs w:val="18"/>
          <w:lang w:val="en-GB"/>
        </w:rPr>
        <w:t xml:space="preserve"> (</w:t>
      </w:r>
      <w:r w:rsidR="00D04054" w:rsidRPr="00457E8F">
        <w:rPr>
          <w:rFonts w:asciiTheme="minorHAnsi" w:hAnsiTheme="minorHAnsi"/>
          <w:i/>
          <w:iCs/>
          <w:sz w:val="18"/>
          <w:szCs w:val="18"/>
          <w:lang w:val="en-GB"/>
        </w:rPr>
        <w:t>This should match the name used in legal documents, registrations, and any official correspondence.</w:t>
      </w:r>
      <w:r w:rsidR="00D04054">
        <w:rPr>
          <w:rFonts w:asciiTheme="minorHAnsi" w:hAnsiTheme="minorHAnsi"/>
          <w:i/>
          <w:iCs/>
          <w:sz w:val="18"/>
          <w:szCs w:val="18"/>
          <w:lang w:val="en-GB"/>
        </w:rPr>
        <w:t xml:space="preserve"> </w:t>
      </w:r>
      <w:r w:rsidR="00D04054" w:rsidRPr="00457E8F">
        <w:rPr>
          <w:rFonts w:asciiTheme="minorHAnsi" w:hAnsiTheme="minorHAnsi"/>
          <w:i/>
          <w:iCs/>
          <w:sz w:val="18"/>
          <w:szCs w:val="18"/>
          <w:lang w:val="en-GB"/>
        </w:rPr>
        <w:t>It identifies who is responsible for the bid and, if successful, for executing the contract</w:t>
      </w:r>
      <w:r w:rsidR="00D04054">
        <w:rPr>
          <w:rFonts w:asciiTheme="minorHAnsi" w:hAnsiTheme="minorHAnsi"/>
          <w:i/>
          <w:iCs/>
          <w:sz w:val="18"/>
          <w:szCs w:val="18"/>
          <w:lang w:val="en-GB"/>
        </w:rPr>
        <w:t>)</w:t>
      </w:r>
      <w:r w:rsidR="00D04054" w:rsidRPr="00457E8F">
        <w:rPr>
          <w:rFonts w:asciiTheme="minorHAnsi" w:hAnsiTheme="minorHAnsi"/>
          <w:i/>
          <w:iCs/>
          <w:sz w:val="18"/>
          <w:szCs w:val="18"/>
          <w:lang w:val="en-GB"/>
        </w:rPr>
        <w:t>.</w:t>
      </w:r>
    </w:p>
  </w:footnote>
  <w:footnote w:id="2">
    <w:p w14:paraId="5786FF4A" w14:textId="586931A7" w:rsidR="002A2ED0" w:rsidRPr="00F719B9" w:rsidRDefault="002A2ED0">
      <w:pPr>
        <w:pStyle w:val="FootnoteText"/>
        <w:rPr>
          <w:lang w:val="en-GB"/>
        </w:rPr>
      </w:pPr>
      <w:r>
        <w:rPr>
          <w:rStyle w:val="FootnoteReference"/>
        </w:rPr>
        <w:footnoteRef/>
      </w:r>
      <w:r w:rsidRPr="00F719B9">
        <w:rPr>
          <w:lang w:val="en-GB"/>
        </w:rPr>
        <w:t xml:space="preserve"> </w:t>
      </w:r>
      <w:r w:rsidRPr="000A76D2">
        <w:rPr>
          <w:rFonts w:asciiTheme="minorHAnsi" w:hAnsiTheme="minorHAnsi"/>
          <w:i/>
          <w:iCs/>
          <w:sz w:val="18"/>
          <w:szCs w:val="18"/>
          <w:lang w:val="en-GB"/>
        </w:rPr>
        <w:t>An individual who has the legal authority to sign documents on behalf of the tendering entity (company, organi</w:t>
      </w:r>
      <w:r>
        <w:rPr>
          <w:rFonts w:asciiTheme="minorHAnsi" w:hAnsiTheme="minorHAnsi"/>
          <w:i/>
          <w:iCs/>
          <w:sz w:val="18"/>
          <w:szCs w:val="18"/>
          <w:lang w:val="en-GB"/>
        </w:rPr>
        <w:t>s</w:t>
      </w:r>
      <w:r w:rsidRPr="000A76D2">
        <w:rPr>
          <w:rFonts w:asciiTheme="minorHAnsi" w:hAnsiTheme="minorHAnsi"/>
          <w:i/>
          <w:iCs/>
          <w:sz w:val="18"/>
          <w:szCs w:val="18"/>
          <w:lang w:val="en-GB"/>
        </w:rPr>
        <w:t>ation, or individual consultant)</w:t>
      </w:r>
      <w:r>
        <w:rPr>
          <w:rFonts w:asciiTheme="minorHAnsi" w:hAnsiTheme="minorHAnsi"/>
          <w:i/>
          <w:iCs/>
          <w:sz w:val="18"/>
          <w:szCs w:val="18"/>
          <w:lang w:val="en-GB"/>
        </w:rPr>
        <w:t>.</w:t>
      </w:r>
      <w:r w:rsidRPr="005C4B9E">
        <w:rPr>
          <w:lang w:val="en-GB"/>
        </w:rPr>
        <w:t xml:space="preserve"> </w:t>
      </w:r>
      <w:r w:rsidRPr="000A76D2">
        <w:rPr>
          <w:rFonts w:asciiTheme="minorHAnsi" w:hAnsiTheme="minorHAnsi"/>
          <w:i/>
          <w:iCs/>
          <w:sz w:val="18"/>
          <w:szCs w:val="18"/>
          <w:lang w:val="en-GB"/>
        </w:rPr>
        <w:t>A company executive (e.g. CEO, director, manager) formally designated to represent the organi</w:t>
      </w:r>
      <w:r>
        <w:rPr>
          <w:rFonts w:asciiTheme="minorHAnsi" w:hAnsiTheme="minorHAnsi"/>
          <w:i/>
          <w:iCs/>
          <w:sz w:val="18"/>
          <w:szCs w:val="18"/>
          <w:lang w:val="en-GB"/>
        </w:rPr>
        <w:t>s</w:t>
      </w:r>
      <w:r w:rsidRPr="000A76D2">
        <w:rPr>
          <w:rFonts w:asciiTheme="minorHAnsi" w:hAnsiTheme="minorHAnsi"/>
          <w:i/>
          <w:iCs/>
          <w:sz w:val="18"/>
          <w:szCs w:val="18"/>
          <w:lang w:val="en-GB"/>
        </w:rPr>
        <w:t>ation</w:t>
      </w:r>
      <w:r>
        <w:rPr>
          <w:rFonts w:asciiTheme="minorHAnsi" w:hAnsiTheme="minorHAnsi"/>
          <w:i/>
          <w:iCs/>
          <w:sz w:val="18"/>
          <w:szCs w:val="18"/>
          <w:lang w:val="en-GB"/>
        </w:rPr>
        <w:t xml:space="preserve"> or fo</w:t>
      </w:r>
      <w:r w:rsidRPr="000A76D2">
        <w:rPr>
          <w:rFonts w:asciiTheme="minorHAnsi" w:hAnsiTheme="minorHAnsi"/>
          <w:i/>
          <w:iCs/>
          <w:sz w:val="18"/>
          <w:szCs w:val="18"/>
          <w:lang w:val="en-GB"/>
        </w:rPr>
        <w:t>r independent consultants/freelancers, the individual themselves, acting in their own name</w:t>
      </w:r>
      <w:r>
        <w:rPr>
          <w:rFonts w:asciiTheme="minorHAnsi" w:hAnsiTheme="minorHAnsi"/>
          <w:i/>
          <w:iCs/>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53DE1" w14:textId="2FCCBBCA" w:rsidR="00D830D4" w:rsidRDefault="00F855CA">
    <w:pPr>
      <w:pStyle w:val="Header"/>
    </w:pPr>
    <w:r>
      <w:rPr>
        <w:noProof/>
      </w:rPr>
      <w:drawing>
        <wp:anchor distT="0" distB="0" distL="114300" distR="114300" simplePos="0" relativeHeight="251661312" behindDoc="0" locked="0" layoutInCell="1" allowOverlap="1" wp14:anchorId="5C4CEEFA" wp14:editId="7B3D8A88">
          <wp:simplePos x="0" y="0"/>
          <wp:positionH relativeFrom="margin">
            <wp:align>center</wp:align>
          </wp:positionH>
          <wp:positionV relativeFrom="paragraph">
            <wp:posOffset>-375285</wp:posOffset>
          </wp:positionV>
          <wp:extent cx="1290297" cy="1080000"/>
          <wp:effectExtent l="0" t="0" r="5715" b="6350"/>
          <wp:wrapNone/>
          <wp:docPr id="523280672"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5071F" w14:textId="5F706DF2" w:rsidR="00F855CA" w:rsidRDefault="00F855CA">
    <w:pPr>
      <w:pStyle w:val="Header"/>
    </w:pPr>
    <w:r>
      <w:rPr>
        <w:noProof/>
      </w:rPr>
      <w:drawing>
        <wp:anchor distT="0" distB="0" distL="114300" distR="114300" simplePos="0" relativeHeight="251659264" behindDoc="0" locked="0" layoutInCell="1" allowOverlap="1" wp14:anchorId="0945B965" wp14:editId="01B3A550">
          <wp:simplePos x="0" y="0"/>
          <wp:positionH relativeFrom="margin">
            <wp:align>center</wp:align>
          </wp:positionH>
          <wp:positionV relativeFrom="paragraph">
            <wp:posOffset>-375273</wp:posOffset>
          </wp:positionV>
          <wp:extent cx="1290297" cy="1080000"/>
          <wp:effectExtent l="0" t="0" r="5715" b="6350"/>
          <wp:wrapNone/>
          <wp:docPr id="334154061"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6438"/>
    <w:multiLevelType w:val="hybridMultilevel"/>
    <w:tmpl w:val="FC3AED1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 w15:restartNumberingAfterBreak="0">
    <w:nsid w:val="060D3F77"/>
    <w:multiLevelType w:val="hybridMultilevel"/>
    <w:tmpl w:val="6C6CC3DE"/>
    <w:lvl w:ilvl="0" w:tplc="BDE2082C">
      <w:start w:val="1"/>
      <w:numFmt w:val="lowerRoman"/>
      <w:lvlText w:val="%1."/>
      <w:lvlJc w:val="right"/>
      <w:pPr>
        <w:ind w:left="108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2" w15:restartNumberingAfterBreak="0">
    <w:nsid w:val="06DE17B6"/>
    <w:multiLevelType w:val="hybridMultilevel"/>
    <w:tmpl w:val="F80CA73C"/>
    <w:lvl w:ilvl="0" w:tplc="5AEC8814">
      <w:start w:val="1"/>
      <w:numFmt w:val="lowerLetter"/>
      <w:lvlText w:val="%1)"/>
      <w:lvlJc w:val="left"/>
      <w:pPr>
        <w:ind w:left="502" w:hanging="360"/>
      </w:pPr>
      <w:rPr>
        <w:sz w:val="24"/>
        <w:szCs w:val="24"/>
      </w:rPr>
    </w:lvl>
    <w:lvl w:ilvl="1" w:tplc="080C001B">
      <w:start w:val="1"/>
      <w:numFmt w:val="lowerRoman"/>
      <w:lvlText w:val="%2."/>
      <w:lvlJc w:val="right"/>
      <w:pPr>
        <w:ind w:left="1582" w:hanging="720"/>
      </w:pPr>
    </w:lvl>
    <w:lvl w:ilvl="2" w:tplc="080C001B">
      <w:start w:val="1"/>
      <w:numFmt w:val="lowerRoman"/>
      <w:lvlText w:val="%3."/>
      <w:lvlJc w:val="right"/>
      <w:pPr>
        <w:ind w:left="1942" w:hanging="180"/>
      </w:pPr>
    </w:lvl>
    <w:lvl w:ilvl="3" w:tplc="080C000F">
      <w:start w:val="1"/>
      <w:numFmt w:val="decimal"/>
      <w:lvlText w:val="%4."/>
      <w:lvlJc w:val="left"/>
      <w:pPr>
        <w:ind w:left="2662" w:hanging="360"/>
      </w:pPr>
    </w:lvl>
    <w:lvl w:ilvl="4" w:tplc="080C0019">
      <w:start w:val="1"/>
      <w:numFmt w:val="lowerLetter"/>
      <w:lvlText w:val="%5."/>
      <w:lvlJc w:val="left"/>
      <w:pPr>
        <w:ind w:left="3382" w:hanging="360"/>
      </w:pPr>
    </w:lvl>
    <w:lvl w:ilvl="5" w:tplc="080C001B">
      <w:start w:val="1"/>
      <w:numFmt w:val="lowerRoman"/>
      <w:lvlText w:val="%6."/>
      <w:lvlJc w:val="right"/>
      <w:pPr>
        <w:ind w:left="4102" w:hanging="180"/>
      </w:pPr>
    </w:lvl>
    <w:lvl w:ilvl="6" w:tplc="080C000F">
      <w:start w:val="1"/>
      <w:numFmt w:val="decimal"/>
      <w:lvlText w:val="%7."/>
      <w:lvlJc w:val="left"/>
      <w:pPr>
        <w:ind w:left="4822" w:hanging="360"/>
      </w:pPr>
    </w:lvl>
    <w:lvl w:ilvl="7" w:tplc="080C0019">
      <w:start w:val="1"/>
      <w:numFmt w:val="lowerLetter"/>
      <w:lvlText w:val="%8."/>
      <w:lvlJc w:val="left"/>
      <w:pPr>
        <w:ind w:left="5542" w:hanging="360"/>
      </w:pPr>
    </w:lvl>
    <w:lvl w:ilvl="8" w:tplc="080C001B">
      <w:start w:val="1"/>
      <w:numFmt w:val="lowerRoman"/>
      <w:lvlText w:val="%9."/>
      <w:lvlJc w:val="right"/>
      <w:pPr>
        <w:ind w:left="6262" w:hanging="180"/>
      </w:pPr>
    </w:lvl>
  </w:abstractNum>
  <w:abstractNum w:abstractNumId="3" w15:restartNumberingAfterBreak="0">
    <w:nsid w:val="145E0197"/>
    <w:multiLevelType w:val="multilevel"/>
    <w:tmpl w:val="31085A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22C511DB"/>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166096"/>
    <w:multiLevelType w:val="hybridMultilevel"/>
    <w:tmpl w:val="65365A74"/>
    <w:lvl w:ilvl="0" w:tplc="7CDC7A6E">
      <w:start w:val="1"/>
      <w:numFmt w:val="lowerRoman"/>
      <w:lvlText w:val="%1."/>
      <w:lvlJc w:val="right"/>
      <w:pPr>
        <w:ind w:left="108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6" w15:restartNumberingAfterBreak="0">
    <w:nsid w:val="2C322D65"/>
    <w:multiLevelType w:val="hybridMultilevel"/>
    <w:tmpl w:val="6B563684"/>
    <w:lvl w:ilvl="0" w:tplc="1F38FD66">
      <w:start w:val="1"/>
      <w:numFmt w:val="bullet"/>
      <w:lvlText w:val=""/>
      <w:lvlJc w:val="left"/>
      <w:pPr>
        <w:ind w:left="720" w:hanging="360"/>
      </w:pPr>
      <w:rPr>
        <w:rFonts w:ascii="Wingdings" w:hAnsi="Wingdings" w:hint="default"/>
        <w:color w:val="auto"/>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7" w15:restartNumberingAfterBreak="0">
    <w:nsid w:val="32411EEC"/>
    <w:multiLevelType w:val="hybridMultilevel"/>
    <w:tmpl w:val="1660DB40"/>
    <w:lvl w:ilvl="0" w:tplc="080C001B">
      <w:start w:val="1"/>
      <w:numFmt w:val="lowerRoman"/>
      <w:lvlText w:val="%1."/>
      <w:lvlJc w:val="right"/>
      <w:pPr>
        <w:ind w:left="1080" w:hanging="360"/>
      </w:pPr>
    </w:lvl>
    <w:lvl w:ilvl="1" w:tplc="080C001B">
      <w:start w:val="1"/>
      <w:numFmt w:val="lowerRoman"/>
      <w:lvlText w:val="%2."/>
      <w:lvlJc w:val="right"/>
      <w:pPr>
        <w:ind w:left="1800" w:hanging="360"/>
      </w:pPr>
    </w:lvl>
    <w:lvl w:ilvl="2" w:tplc="080C001B">
      <w:start w:val="1"/>
      <w:numFmt w:val="lowerRoman"/>
      <w:lvlText w:val="%3."/>
      <w:lvlJc w:val="right"/>
      <w:pPr>
        <w:ind w:left="2520" w:hanging="180"/>
      </w:pPr>
    </w:lvl>
    <w:lvl w:ilvl="3" w:tplc="080C000F">
      <w:start w:val="1"/>
      <w:numFmt w:val="decimal"/>
      <w:lvlText w:val="%4."/>
      <w:lvlJc w:val="left"/>
      <w:pPr>
        <w:ind w:left="3240" w:hanging="360"/>
      </w:pPr>
    </w:lvl>
    <w:lvl w:ilvl="4" w:tplc="080C0019">
      <w:start w:val="1"/>
      <w:numFmt w:val="lowerLetter"/>
      <w:lvlText w:val="%5."/>
      <w:lvlJc w:val="left"/>
      <w:pPr>
        <w:ind w:left="3960" w:hanging="360"/>
      </w:pPr>
    </w:lvl>
    <w:lvl w:ilvl="5" w:tplc="080C001B">
      <w:start w:val="1"/>
      <w:numFmt w:val="lowerRoman"/>
      <w:lvlText w:val="%6."/>
      <w:lvlJc w:val="right"/>
      <w:pPr>
        <w:ind w:left="4680" w:hanging="180"/>
      </w:pPr>
    </w:lvl>
    <w:lvl w:ilvl="6" w:tplc="080C000F">
      <w:start w:val="1"/>
      <w:numFmt w:val="decimal"/>
      <w:lvlText w:val="%7."/>
      <w:lvlJc w:val="left"/>
      <w:pPr>
        <w:ind w:left="5400" w:hanging="360"/>
      </w:pPr>
    </w:lvl>
    <w:lvl w:ilvl="7" w:tplc="080C0019">
      <w:start w:val="1"/>
      <w:numFmt w:val="lowerLetter"/>
      <w:lvlText w:val="%8."/>
      <w:lvlJc w:val="left"/>
      <w:pPr>
        <w:ind w:left="6120" w:hanging="360"/>
      </w:pPr>
    </w:lvl>
    <w:lvl w:ilvl="8" w:tplc="080C001B">
      <w:start w:val="1"/>
      <w:numFmt w:val="lowerRoman"/>
      <w:lvlText w:val="%9."/>
      <w:lvlJc w:val="right"/>
      <w:pPr>
        <w:ind w:left="6840" w:hanging="180"/>
      </w:pPr>
    </w:lvl>
  </w:abstractNum>
  <w:abstractNum w:abstractNumId="8" w15:restartNumberingAfterBreak="0">
    <w:nsid w:val="40AF2937"/>
    <w:multiLevelType w:val="multilevel"/>
    <w:tmpl w:val="DE26FBFC"/>
    <w:lvl w:ilvl="0">
      <w:start w:val="1"/>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48227962"/>
    <w:multiLevelType w:val="hybridMultilevel"/>
    <w:tmpl w:val="F6F23A64"/>
    <w:lvl w:ilvl="0" w:tplc="080C001B">
      <w:start w:val="1"/>
      <w:numFmt w:val="lowerRoman"/>
      <w:lvlText w:val="%1."/>
      <w:lvlJc w:val="right"/>
      <w:pPr>
        <w:ind w:left="1429" w:hanging="720"/>
      </w:pPr>
    </w:lvl>
    <w:lvl w:ilvl="1" w:tplc="080C0019">
      <w:start w:val="1"/>
      <w:numFmt w:val="lowerLetter"/>
      <w:lvlText w:val="%2."/>
      <w:lvlJc w:val="left"/>
      <w:pPr>
        <w:ind w:left="1789" w:hanging="360"/>
      </w:pPr>
    </w:lvl>
    <w:lvl w:ilvl="2" w:tplc="080C001B">
      <w:start w:val="1"/>
      <w:numFmt w:val="lowerRoman"/>
      <w:lvlText w:val="%3."/>
      <w:lvlJc w:val="right"/>
      <w:pPr>
        <w:ind w:left="2509" w:hanging="180"/>
      </w:pPr>
    </w:lvl>
    <w:lvl w:ilvl="3" w:tplc="080C000F">
      <w:start w:val="1"/>
      <w:numFmt w:val="decimal"/>
      <w:lvlText w:val="%4."/>
      <w:lvlJc w:val="left"/>
      <w:pPr>
        <w:ind w:left="3229" w:hanging="360"/>
      </w:pPr>
    </w:lvl>
    <w:lvl w:ilvl="4" w:tplc="080C0019">
      <w:start w:val="1"/>
      <w:numFmt w:val="lowerLetter"/>
      <w:lvlText w:val="%5."/>
      <w:lvlJc w:val="left"/>
      <w:pPr>
        <w:ind w:left="3949" w:hanging="360"/>
      </w:pPr>
    </w:lvl>
    <w:lvl w:ilvl="5" w:tplc="080C001B">
      <w:start w:val="1"/>
      <w:numFmt w:val="lowerRoman"/>
      <w:lvlText w:val="%6."/>
      <w:lvlJc w:val="right"/>
      <w:pPr>
        <w:ind w:left="4669" w:hanging="180"/>
      </w:pPr>
    </w:lvl>
    <w:lvl w:ilvl="6" w:tplc="080C000F">
      <w:start w:val="1"/>
      <w:numFmt w:val="decimal"/>
      <w:lvlText w:val="%7."/>
      <w:lvlJc w:val="left"/>
      <w:pPr>
        <w:ind w:left="5389" w:hanging="360"/>
      </w:pPr>
    </w:lvl>
    <w:lvl w:ilvl="7" w:tplc="080C0019">
      <w:start w:val="1"/>
      <w:numFmt w:val="lowerLetter"/>
      <w:lvlText w:val="%8."/>
      <w:lvlJc w:val="left"/>
      <w:pPr>
        <w:ind w:left="6109" w:hanging="360"/>
      </w:pPr>
    </w:lvl>
    <w:lvl w:ilvl="8" w:tplc="080C001B">
      <w:start w:val="1"/>
      <w:numFmt w:val="lowerRoman"/>
      <w:lvlText w:val="%9."/>
      <w:lvlJc w:val="right"/>
      <w:pPr>
        <w:ind w:left="6829" w:hanging="180"/>
      </w:pPr>
    </w:lvl>
  </w:abstractNum>
  <w:abstractNum w:abstractNumId="10" w15:restartNumberingAfterBreak="0">
    <w:nsid w:val="58102E78"/>
    <w:multiLevelType w:val="hybridMultilevel"/>
    <w:tmpl w:val="D44C0D14"/>
    <w:lvl w:ilvl="0" w:tplc="080C0005">
      <w:start w:val="1"/>
      <w:numFmt w:val="bullet"/>
      <w:lvlText w:val=""/>
      <w:lvlJc w:val="left"/>
      <w:pPr>
        <w:tabs>
          <w:tab w:val="num" w:pos="720"/>
        </w:tabs>
        <w:ind w:left="720" w:hanging="360"/>
      </w:pPr>
      <w:rPr>
        <w:rFonts w:ascii="Wingdings" w:hAnsi="Wingdings" w:hint="default"/>
      </w:rPr>
    </w:lvl>
    <w:lvl w:ilvl="1" w:tplc="080C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5F6221"/>
    <w:multiLevelType w:val="hybridMultilevel"/>
    <w:tmpl w:val="C60A28E2"/>
    <w:lvl w:ilvl="0" w:tplc="9D78B0A2">
      <w:start w:val="1"/>
      <w:numFmt w:val="lowerRoman"/>
      <w:lvlText w:val="%1."/>
      <w:lvlJc w:val="right"/>
      <w:pPr>
        <w:ind w:left="108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2" w15:restartNumberingAfterBreak="0">
    <w:nsid w:val="653149C7"/>
    <w:multiLevelType w:val="hybridMultilevel"/>
    <w:tmpl w:val="8EE69CC4"/>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1">
      <w:start w:val="1"/>
      <w:numFmt w:val="bullet"/>
      <w:lvlText w:val=""/>
      <w:lvlJc w:val="left"/>
      <w:pPr>
        <w:ind w:left="2160" w:hanging="360"/>
      </w:pPr>
      <w:rPr>
        <w:rFonts w:ascii="Symbol" w:hAnsi="Symbol" w:hint="default"/>
      </w:rPr>
    </w:lvl>
    <w:lvl w:ilvl="3" w:tplc="DA7677C8">
      <w:start w:val="1"/>
      <w:numFmt w:val="bullet"/>
      <w:lvlText w:val="-"/>
      <w:lvlJc w:val="left"/>
      <w:pPr>
        <w:ind w:left="2880" w:hanging="360"/>
      </w:pPr>
      <w:rPr>
        <w:rFonts w:ascii="Times New Roman" w:eastAsia="Times New Roman" w:hAnsi="Times New Roman" w:cs="Times New Roman" w:hint="default"/>
      </w:rPr>
    </w:lvl>
    <w:lvl w:ilvl="4" w:tplc="080C0003">
      <w:start w:val="1"/>
      <w:numFmt w:val="bullet"/>
      <w:lvlText w:val="o"/>
      <w:lvlJc w:val="left"/>
      <w:pPr>
        <w:ind w:left="3600" w:hanging="360"/>
      </w:pPr>
      <w:rPr>
        <w:rFonts w:ascii="Courier New" w:hAnsi="Courier New" w:cs="Times New Roman Bold"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Times New Roman Bold" w:hint="default"/>
      </w:rPr>
    </w:lvl>
    <w:lvl w:ilvl="8" w:tplc="080C0005">
      <w:start w:val="1"/>
      <w:numFmt w:val="bullet"/>
      <w:lvlText w:val=""/>
      <w:lvlJc w:val="left"/>
      <w:pPr>
        <w:ind w:left="6480" w:hanging="360"/>
      </w:pPr>
      <w:rPr>
        <w:rFonts w:ascii="Wingdings" w:hAnsi="Wingdings" w:hint="default"/>
      </w:rPr>
    </w:lvl>
  </w:abstractNum>
  <w:abstractNum w:abstractNumId="13" w15:restartNumberingAfterBreak="0">
    <w:nsid w:val="72D82B28"/>
    <w:multiLevelType w:val="hybridMultilevel"/>
    <w:tmpl w:val="9042C4C0"/>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73722BC7"/>
    <w:multiLevelType w:val="hybridMultilevel"/>
    <w:tmpl w:val="6C6CC3DE"/>
    <w:lvl w:ilvl="0" w:tplc="BDE2082C">
      <w:start w:val="1"/>
      <w:numFmt w:val="lowerRoman"/>
      <w:lvlText w:val="%1."/>
      <w:lvlJc w:val="right"/>
      <w:pPr>
        <w:ind w:left="108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5" w15:restartNumberingAfterBreak="0">
    <w:nsid w:val="7F081BE2"/>
    <w:multiLevelType w:val="multilevel"/>
    <w:tmpl w:val="1042F8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95356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3158272">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55185">
    <w:abstractNumId w:val="6"/>
  </w:num>
  <w:num w:numId="4" w16cid:durableId="748311118">
    <w:abstractNumId w:val="13"/>
  </w:num>
  <w:num w:numId="5" w16cid:durableId="680157270">
    <w:abstractNumId w:val="0"/>
  </w:num>
  <w:num w:numId="6" w16cid:durableId="15711099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34544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1534343">
    <w:abstractNumId w:val="12"/>
  </w:num>
  <w:num w:numId="9" w16cid:durableId="1207374253">
    <w:abstractNumId w:val="10"/>
  </w:num>
  <w:num w:numId="10" w16cid:durableId="7694007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86932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50288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5969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046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36948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58140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B4"/>
    <w:rsid w:val="00021E54"/>
    <w:rsid w:val="001D3E97"/>
    <w:rsid w:val="0023082F"/>
    <w:rsid w:val="002A2ED0"/>
    <w:rsid w:val="002C5C3C"/>
    <w:rsid w:val="00316BFC"/>
    <w:rsid w:val="003359FB"/>
    <w:rsid w:val="003621F5"/>
    <w:rsid w:val="003A2EB4"/>
    <w:rsid w:val="003A7760"/>
    <w:rsid w:val="00446F67"/>
    <w:rsid w:val="004C5491"/>
    <w:rsid w:val="00607929"/>
    <w:rsid w:val="00610E73"/>
    <w:rsid w:val="0067159B"/>
    <w:rsid w:val="006D51CE"/>
    <w:rsid w:val="006F2106"/>
    <w:rsid w:val="00750955"/>
    <w:rsid w:val="007A62B2"/>
    <w:rsid w:val="007D3D49"/>
    <w:rsid w:val="007E1768"/>
    <w:rsid w:val="00844284"/>
    <w:rsid w:val="008A25EF"/>
    <w:rsid w:val="008D48BD"/>
    <w:rsid w:val="009A725F"/>
    <w:rsid w:val="009D6BC9"/>
    <w:rsid w:val="00A34C47"/>
    <w:rsid w:val="00A53F04"/>
    <w:rsid w:val="00AC3154"/>
    <w:rsid w:val="00AD317B"/>
    <w:rsid w:val="00B8431E"/>
    <w:rsid w:val="00BB72D6"/>
    <w:rsid w:val="00CB6DE9"/>
    <w:rsid w:val="00CE004D"/>
    <w:rsid w:val="00D04054"/>
    <w:rsid w:val="00D213E6"/>
    <w:rsid w:val="00D43663"/>
    <w:rsid w:val="00D755AE"/>
    <w:rsid w:val="00D830D4"/>
    <w:rsid w:val="00DC0853"/>
    <w:rsid w:val="00ED141B"/>
    <w:rsid w:val="00EE59AB"/>
    <w:rsid w:val="00F719B9"/>
    <w:rsid w:val="00F855CA"/>
    <w:rsid w:val="00FF1DC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26D79DE"/>
  <w15:chartTrackingRefBased/>
  <w15:docId w15:val="{5DE5E46C-D543-4845-A536-9B5F8B546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EB4"/>
    <w:pPr>
      <w:spacing w:after="0" w:line="240" w:lineRule="auto"/>
    </w:pPr>
    <w:rPr>
      <w:rFonts w:eastAsia="Times New Roman" w:cs="Times New Roman"/>
      <w:kern w:val="0"/>
      <w:szCs w:val="20"/>
      <w:lang w:val="fr-FR" w:eastAsia="fr-FR"/>
      <w14:ligatures w14:val="none"/>
    </w:rPr>
  </w:style>
  <w:style w:type="paragraph" w:styleId="Heading1">
    <w:name w:val="heading 1"/>
    <w:basedOn w:val="Normal"/>
    <w:next w:val="Normal"/>
    <w:link w:val="Heading1Char"/>
    <w:uiPriority w:val="9"/>
    <w:qFormat/>
    <w:rsid w:val="003A2E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2E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2E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2E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2E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2E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2E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2E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2E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2EB4"/>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3A2EB4"/>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3A2EB4"/>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3A2EB4"/>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3A2EB4"/>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3A2EB4"/>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3A2EB4"/>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3A2EB4"/>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3A2EB4"/>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3A2E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EB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3A2E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2EB4"/>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3A2EB4"/>
    <w:pPr>
      <w:spacing w:before="160"/>
      <w:jc w:val="center"/>
    </w:pPr>
    <w:rPr>
      <w:i/>
      <w:iCs/>
      <w:color w:val="404040" w:themeColor="text1" w:themeTint="BF"/>
    </w:rPr>
  </w:style>
  <w:style w:type="character" w:customStyle="1" w:styleId="QuoteChar">
    <w:name w:val="Quote Char"/>
    <w:basedOn w:val="DefaultParagraphFont"/>
    <w:link w:val="Quote"/>
    <w:uiPriority w:val="29"/>
    <w:rsid w:val="003A2EB4"/>
    <w:rPr>
      <w:i/>
      <w:iCs/>
      <w:color w:val="404040" w:themeColor="text1" w:themeTint="BF"/>
      <w:lang w:val="en-GB"/>
    </w:rPr>
  </w:style>
  <w:style w:type="paragraph" w:styleId="ListParagraph">
    <w:name w:val="List Paragraph"/>
    <w:aliases w:val="RMSI bulle Style,List Paragraph1,Bullet  Paragraph,Heading3,Bullets,r2,Paragraphe 2,inspringtekst,References,Titre1,- List tir,liste 1,puce 1,Puces,List Paragraph nowy,Liste 1,Numbered List Paragraph,List Paragraph (numbered (a)),RM1"/>
    <w:basedOn w:val="Normal"/>
    <w:link w:val="ListParagraphChar"/>
    <w:uiPriority w:val="34"/>
    <w:qFormat/>
    <w:rsid w:val="003A2EB4"/>
    <w:pPr>
      <w:ind w:left="720"/>
      <w:contextualSpacing/>
    </w:pPr>
  </w:style>
  <w:style w:type="character" w:styleId="IntenseEmphasis">
    <w:name w:val="Intense Emphasis"/>
    <w:basedOn w:val="DefaultParagraphFont"/>
    <w:uiPriority w:val="21"/>
    <w:qFormat/>
    <w:rsid w:val="003A2EB4"/>
    <w:rPr>
      <w:i/>
      <w:iCs/>
      <w:color w:val="0F4761" w:themeColor="accent1" w:themeShade="BF"/>
    </w:rPr>
  </w:style>
  <w:style w:type="paragraph" w:styleId="IntenseQuote">
    <w:name w:val="Intense Quote"/>
    <w:basedOn w:val="Normal"/>
    <w:next w:val="Normal"/>
    <w:link w:val="IntenseQuoteChar"/>
    <w:uiPriority w:val="30"/>
    <w:qFormat/>
    <w:rsid w:val="003A2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2EB4"/>
    <w:rPr>
      <w:i/>
      <w:iCs/>
      <w:color w:val="0F4761" w:themeColor="accent1" w:themeShade="BF"/>
      <w:lang w:val="en-GB"/>
    </w:rPr>
  </w:style>
  <w:style w:type="character" w:styleId="IntenseReference">
    <w:name w:val="Intense Reference"/>
    <w:basedOn w:val="DefaultParagraphFont"/>
    <w:uiPriority w:val="32"/>
    <w:qFormat/>
    <w:rsid w:val="003A2EB4"/>
    <w:rPr>
      <w:b/>
      <w:bCs/>
      <w:smallCaps/>
      <w:color w:val="0F4761" w:themeColor="accent1" w:themeShade="BF"/>
      <w:spacing w:val="5"/>
    </w:rPr>
  </w:style>
  <w:style w:type="paragraph" w:styleId="Footer">
    <w:name w:val="footer"/>
    <w:basedOn w:val="Normal"/>
    <w:link w:val="FooterChar"/>
    <w:uiPriority w:val="99"/>
    <w:unhideWhenUsed/>
    <w:rsid w:val="003A2EB4"/>
    <w:pPr>
      <w:tabs>
        <w:tab w:val="center" w:pos="4536"/>
        <w:tab w:val="right" w:pos="9072"/>
      </w:tabs>
    </w:pPr>
    <w:rPr>
      <w:rFonts w:eastAsiaTheme="minorHAnsi" w:cstheme="minorBidi"/>
      <w:kern w:val="2"/>
      <w:szCs w:val="22"/>
      <w:lang w:val="fr-BE" w:eastAsia="en-US"/>
      <w14:ligatures w14:val="standardContextual"/>
    </w:rPr>
  </w:style>
  <w:style w:type="character" w:customStyle="1" w:styleId="FooterChar">
    <w:name w:val="Footer Char"/>
    <w:basedOn w:val="DefaultParagraphFont"/>
    <w:link w:val="Footer"/>
    <w:uiPriority w:val="99"/>
    <w:rsid w:val="003A2EB4"/>
    <w:rPr>
      <w:lang w:val="fr-BE"/>
    </w:rPr>
  </w:style>
  <w:style w:type="table" w:styleId="TableGrid">
    <w:name w:val="Table Grid"/>
    <w:basedOn w:val="TableNormal"/>
    <w:uiPriority w:val="39"/>
    <w:rsid w:val="003A2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30D4"/>
    <w:pPr>
      <w:tabs>
        <w:tab w:val="center" w:pos="4513"/>
        <w:tab w:val="right" w:pos="9026"/>
      </w:tabs>
    </w:pPr>
  </w:style>
  <w:style w:type="character" w:customStyle="1" w:styleId="HeaderChar">
    <w:name w:val="Header Char"/>
    <w:basedOn w:val="DefaultParagraphFont"/>
    <w:link w:val="Header"/>
    <w:uiPriority w:val="99"/>
    <w:rsid w:val="00D830D4"/>
    <w:rPr>
      <w:rFonts w:eastAsia="Times New Roman" w:cs="Times New Roman"/>
      <w:kern w:val="0"/>
      <w:szCs w:val="20"/>
      <w:lang w:val="fr-FR" w:eastAsia="fr-FR"/>
      <w14:ligatures w14:val="none"/>
    </w:rPr>
  </w:style>
  <w:style w:type="character" w:styleId="Hyperlink">
    <w:name w:val="Hyperlink"/>
    <w:basedOn w:val="DefaultParagraphFont"/>
    <w:uiPriority w:val="99"/>
    <w:semiHidden/>
    <w:unhideWhenUsed/>
    <w:rsid w:val="00B8431E"/>
    <w:rPr>
      <w:color w:val="467886" w:themeColor="hyperlink"/>
      <w:u w:val="single"/>
    </w:rPr>
  </w:style>
  <w:style w:type="paragraph" w:styleId="BodyText">
    <w:name w:val="Body Text"/>
    <w:basedOn w:val="Normal"/>
    <w:link w:val="BodyTextChar"/>
    <w:uiPriority w:val="99"/>
    <w:semiHidden/>
    <w:unhideWhenUsed/>
    <w:rsid w:val="00B8431E"/>
    <w:pPr>
      <w:jc w:val="both"/>
    </w:pPr>
    <w:rPr>
      <w:rFonts w:ascii="Times New Roman" w:hAnsi="Times New Roman"/>
      <w:sz w:val="24"/>
      <w:szCs w:val="24"/>
      <w:lang w:val="es-ES_tradnl"/>
    </w:rPr>
  </w:style>
  <w:style w:type="character" w:customStyle="1" w:styleId="BodyTextChar">
    <w:name w:val="Body Text Char"/>
    <w:basedOn w:val="DefaultParagraphFont"/>
    <w:link w:val="BodyText"/>
    <w:uiPriority w:val="99"/>
    <w:semiHidden/>
    <w:rsid w:val="00B8431E"/>
    <w:rPr>
      <w:rFonts w:ascii="Times New Roman" w:eastAsia="Times New Roman" w:hAnsi="Times New Roman" w:cs="Times New Roman"/>
      <w:kern w:val="0"/>
      <w:sz w:val="24"/>
      <w:szCs w:val="24"/>
      <w:lang w:val="es-ES_tradnl" w:eastAsia="fr-FR"/>
      <w14:ligatures w14:val="none"/>
    </w:rPr>
  </w:style>
  <w:style w:type="paragraph" w:styleId="BodyText3">
    <w:name w:val="Body Text 3"/>
    <w:basedOn w:val="Normal"/>
    <w:link w:val="BodyText3Char"/>
    <w:uiPriority w:val="99"/>
    <w:semiHidden/>
    <w:unhideWhenUsed/>
    <w:rsid w:val="00B8431E"/>
    <w:pPr>
      <w:keepLines/>
      <w:spacing w:after="120"/>
      <w:ind w:right="-454"/>
      <w:jc w:val="both"/>
    </w:pPr>
    <w:rPr>
      <w:rFonts w:ascii="Times New Roman" w:hAnsi="Times New Roman"/>
      <w:sz w:val="16"/>
      <w:szCs w:val="16"/>
      <w:lang w:val="es-ES_tradnl"/>
    </w:rPr>
  </w:style>
  <w:style w:type="character" w:customStyle="1" w:styleId="BodyText3Char">
    <w:name w:val="Body Text 3 Char"/>
    <w:basedOn w:val="DefaultParagraphFont"/>
    <w:link w:val="BodyText3"/>
    <w:uiPriority w:val="99"/>
    <w:semiHidden/>
    <w:rsid w:val="00B8431E"/>
    <w:rPr>
      <w:rFonts w:ascii="Times New Roman" w:eastAsia="Times New Roman" w:hAnsi="Times New Roman" w:cs="Times New Roman"/>
      <w:kern w:val="0"/>
      <w:sz w:val="16"/>
      <w:szCs w:val="16"/>
      <w:lang w:val="es-ES_tradnl" w:eastAsia="fr-FR"/>
      <w14:ligatures w14:val="none"/>
    </w:rPr>
  </w:style>
  <w:style w:type="character" w:customStyle="1" w:styleId="ListParagraphChar">
    <w:name w:val="List Paragraph Char"/>
    <w:aliases w:val="RMSI bulle Style Char,List Paragraph1 Char,Bullet  Paragraph Char,Heading3 Char,Bullets Char,r2 Char,Paragraphe 2 Char,inspringtekst Char,References Char,Titre1 Char,- List tir Char,liste 1 Char,puce 1 Char,Puces Char,Liste 1 Char"/>
    <w:link w:val="ListParagraph"/>
    <w:uiPriority w:val="34"/>
    <w:qFormat/>
    <w:locked/>
    <w:rsid w:val="00B8431E"/>
    <w:rPr>
      <w:rFonts w:eastAsia="Times New Roman" w:cs="Times New Roman"/>
      <w:kern w:val="0"/>
      <w:szCs w:val="20"/>
      <w:lang w:val="fr-FR" w:eastAsia="fr-FR"/>
      <w14:ligatures w14:val="none"/>
    </w:rPr>
  </w:style>
  <w:style w:type="paragraph" w:customStyle="1" w:styleId="Default">
    <w:name w:val="Default"/>
    <w:rsid w:val="00B8431E"/>
    <w:pPr>
      <w:autoSpaceDE w:val="0"/>
      <w:autoSpaceDN w:val="0"/>
      <w:adjustRightInd w:val="0"/>
      <w:spacing w:after="0" w:line="240" w:lineRule="auto"/>
    </w:pPr>
    <w:rPr>
      <w:rFonts w:ascii="Myriad Pro" w:eastAsia="Times New Roman" w:hAnsi="Myriad Pro" w:cs="Myriad Pro"/>
      <w:color w:val="000000"/>
      <w:kern w:val="0"/>
      <w:sz w:val="24"/>
      <w:szCs w:val="24"/>
      <w:lang w:val="fr-FR" w:eastAsia="fr-FR"/>
      <w14:ligatures w14:val="none"/>
    </w:rPr>
  </w:style>
  <w:style w:type="paragraph" w:styleId="NormalWeb">
    <w:name w:val="Normal (Web)"/>
    <w:basedOn w:val="Normal"/>
    <w:uiPriority w:val="99"/>
    <w:semiHidden/>
    <w:unhideWhenUsed/>
    <w:rsid w:val="0023082F"/>
    <w:pPr>
      <w:spacing w:before="100" w:beforeAutospacing="1" w:after="100" w:afterAutospacing="1"/>
    </w:pPr>
    <w:rPr>
      <w:rFonts w:ascii="Times New Roman" w:hAnsi="Times New Roman"/>
      <w:sz w:val="24"/>
      <w:szCs w:val="24"/>
      <w:lang w:val="fr-BE" w:eastAsia="fr-BE"/>
    </w:rPr>
  </w:style>
  <w:style w:type="paragraph" w:styleId="FootnoteText">
    <w:name w:val="footnote text"/>
    <w:basedOn w:val="Normal"/>
    <w:link w:val="FootnoteTextChar"/>
    <w:uiPriority w:val="99"/>
    <w:semiHidden/>
    <w:unhideWhenUsed/>
    <w:rsid w:val="0023082F"/>
    <w:pPr>
      <w:suppressAutoHyphens/>
      <w:spacing w:after="240"/>
      <w:ind w:left="357" w:hanging="357"/>
      <w:jc w:val="both"/>
    </w:pPr>
    <w:rPr>
      <w:rFonts w:ascii="Times New Roman" w:hAnsi="Times New Roman"/>
      <w:kern w:val="2"/>
      <w:sz w:val="20"/>
      <w:lang w:eastAsia="ar-SA"/>
    </w:rPr>
  </w:style>
  <w:style w:type="character" w:customStyle="1" w:styleId="FootnoteTextChar">
    <w:name w:val="Footnote Text Char"/>
    <w:basedOn w:val="DefaultParagraphFont"/>
    <w:link w:val="FootnoteText"/>
    <w:uiPriority w:val="99"/>
    <w:semiHidden/>
    <w:rsid w:val="0023082F"/>
    <w:rPr>
      <w:rFonts w:ascii="Times New Roman" w:eastAsia="Times New Roman" w:hAnsi="Times New Roman" w:cs="Times New Roman"/>
      <w:sz w:val="20"/>
      <w:szCs w:val="20"/>
      <w:lang w:val="fr-FR" w:eastAsia="ar-SA"/>
      <w14:ligatures w14:val="none"/>
    </w:rPr>
  </w:style>
  <w:style w:type="character" w:styleId="FootnoteReference">
    <w:name w:val="footnote reference"/>
    <w:basedOn w:val="DefaultParagraphFont"/>
    <w:semiHidden/>
    <w:unhideWhenUsed/>
    <w:rsid w:val="0023082F"/>
    <w:rPr>
      <w:vertAlign w:val="superscript"/>
    </w:rPr>
  </w:style>
  <w:style w:type="paragraph" w:customStyle="1" w:styleId="Retraitnormal1">
    <w:name w:val="Retrait normal1"/>
    <w:basedOn w:val="Normal"/>
    <w:rsid w:val="0023082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240"/>
      <w:jc w:val="both"/>
    </w:pPr>
    <w:rPr>
      <w:rFonts w:ascii="Arial" w:hAnsi="Arial" w:cs="CG Times (W1)"/>
      <w:kern w:val="2"/>
      <w:lang w:val="en-GB" w:eastAsia="ar-SA"/>
    </w:rPr>
  </w:style>
  <w:style w:type="paragraph" w:styleId="Revision">
    <w:name w:val="Revision"/>
    <w:hidden/>
    <w:uiPriority w:val="99"/>
    <w:semiHidden/>
    <w:rsid w:val="00D04054"/>
    <w:pPr>
      <w:spacing w:after="0" w:line="240" w:lineRule="auto"/>
    </w:pPr>
    <w:rPr>
      <w:rFonts w:eastAsia="Times New Roman" w:cs="Times New Roman"/>
      <w:kern w:val="0"/>
      <w:szCs w:val="20"/>
      <w:lang w:val="fr-FR"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esor.economie.gouv.fr/4248_Dispositif-National-de-Gel-Terroriste" TargetMode="External"/><Relationship Id="rId4" Type="http://schemas.openxmlformats.org/officeDocument/2006/relationships/settings" Target="settings.xml"/><Relationship Id="rId9" Type="http://schemas.openxmlformats.org/officeDocument/2006/relationships/hyperlink" Target="https://eeas.europa.eu/headquarters/headquarters-homepage/8442/consolidated-list-sanctions_fr"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A5D6B-F62F-4EFB-87C9-C295AA52C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2097</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Carine Karuhije</dc:creator>
  <cp:keywords/>
  <dc:description/>
  <cp:lastModifiedBy>Carine Karuhije</cp:lastModifiedBy>
  <cp:revision>16</cp:revision>
  <cp:lastPrinted>2024-07-09T09:11:00Z</cp:lastPrinted>
  <dcterms:created xsi:type="dcterms:W3CDTF">2024-03-14T11:43:00Z</dcterms:created>
  <dcterms:modified xsi:type="dcterms:W3CDTF">2025-06-30T12:33:00Z</dcterms:modified>
</cp:coreProperties>
</file>